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media/image1.png" ContentType="image/png"/>
  <Override PartName="/word/header15.xml" ContentType="application/vnd.openxmlformats-officedocument.wordprocessingml.header+xml"/>
  <Override PartName="/word/header11.xml" ContentType="application/vnd.openxmlformats-officedocument.wordprocessingml.header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2.xml" ContentType="application/vnd.openxmlformats-officedocument.wordprocessingml.header+xml"/>
  <Override PartName="/word/header9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1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1.xml" ContentType="application/vnd.openxmlformats-officedocument.wordprocessingml.foot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footer6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  </w:t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Calibri"/>
          <w:b/>
          <w:sz w:val="22"/>
          <w:szCs w:val="22"/>
        </w:rPr>
        <w:t>Технические требования на выполнение работ</w:t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Calibri"/>
          <w:sz w:val="22"/>
          <w:szCs w:val="22"/>
        </w:rPr>
        <w:t>Выполнение комплекса работ по монтажу инженерных заграждений и сооружений</w:t>
      </w:r>
    </w:p>
    <w:p>
      <w:pPr>
        <w:pStyle w:val="Normal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лот № __________________________</w:t>
      </w:r>
    </w:p>
    <w:p>
      <w:pPr>
        <w:pStyle w:val="Normal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</w:p>
    <w:p>
      <w:pPr>
        <w:pStyle w:val="Heading1"/>
        <w:numPr>
          <w:ilvl w:val="0"/>
          <w:numId w:val="3"/>
        </w:numPr>
        <w:ind w:left="0" w:hanging="0"/>
        <w:jc w:val="left"/>
        <w:rPr>
          <w:sz w:val="22"/>
          <w:szCs w:val="22"/>
        </w:rPr>
      </w:pPr>
      <w:bookmarkStart w:id="0" w:name="__RefHeading___Toc47653_2939175109"/>
      <w:bookmarkEnd w:id="0"/>
      <w:r>
        <w:rPr>
          <w:sz w:val="22"/>
          <w:szCs w:val="22"/>
        </w:rPr>
        <w:t>Общие свед</w:t>
      </w:r>
      <w:bookmarkStart w:id="1" w:name="_Toc125123764"/>
      <w:bookmarkStart w:id="2" w:name="_Toc51921655"/>
      <w:r>
        <w:rPr>
          <w:sz w:val="22"/>
          <w:szCs w:val="22"/>
        </w:rPr>
        <w:t>ения</w:t>
      </w:r>
      <w:bookmarkEnd w:id="1"/>
      <w:bookmarkEnd w:id="2"/>
    </w:p>
    <w:p>
      <w:pPr>
        <w:pStyle w:val="Heading4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3" w:name="__RefHeading___Toc47655_2939175109"/>
      <w:bookmarkStart w:id="4" w:name="_Toc125123765"/>
      <w:bookmarkEnd w:id="3"/>
      <w:r>
        <w:rPr>
          <w:sz w:val="22"/>
          <w:szCs w:val="22"/>
        </w:rPr>
        <w:t>Обозначения и сокращения</w:t>
      </w:r>
      <w:bookmarkEnd w:id="4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Нормативно-технический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Технологическая карта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Подъёмное сооружение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Ростехнадзор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ПДЭК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Постоянно действующая экзаменационная комиссия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Охрана труда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КРУЭ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Комплектное распределительное устройство с элегазовой изоляцией</w:t>
            </w:r>
          </w:p>
        </w:tc>
      </w:tr>
    </w:tbl>
    <w:p>
      <w:pPr>
        <w:pStyle w:val="Normal"/>
        <w:keepNext w:val="true"/>
        <w:keepLines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4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5" w:name="__RefHeading___Toc47657_2939175109"/>
      <w:bookmarkStart w:id="6" w:name="_Toc125123766"/>
      <w:bookmarkEnd w:id="5"/>
      <w:r>
        <w:rPr>
          <w:sz w:val="22"/>
          <w:szCs w:val="22"/>
        </w:rPr>
        <w:t>Наименование закупаемой продукции</w:t>
      </w:r>
      <w:bookmarkEnd w:id="6"/>
    </w:p>
    <w:p>
      <w:pPr>
        <w:pStyle w:val="Normal"/>
        <w:jc w:val="left"/>
        <w:rPr>
          <w:sz w:val="22"/>
          <w:szCs w:val="22"/>
        </w:rPr>
      </w:pPr>
      <w:r>
        <w:rPr>
          <w:rFonts w:eastAsia="Calibri"/>
          <w:iCs/>
          <w:sz w:val="22"/>
          <w:szCs w:val="22"/>
        </w:rPr>
        <w:t>Выполнение комплекса работ по монтажу инженерных заграждений и сооружений.</w:t>
      </w:r>
    </w:p>
    <w:p>
      <w:pPr>
        <w:pStyle w:val="Heading4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7" w:name="__RefHeading___Toc47659_2939175109"/>
      <w:bookmarkStart w:id="8" w:name="_Toc125123767"/>
      <w:bookmarkEnd w:id="7"/>
      <w:r>
        <w:rPr>
          <w:sz w:val="22"/>
          <w:szCs w:val="22"/>
        </w:rPr>
        <w:t xml:space="preserve">Цель </w:t>
      </w:r>
      <w:r>
        <w:rPr>
          <w:sz w:val="22"/>
          <w:szCs w:val="22"/>
          <w:lang w:val="ru-RU"/>
        </w:rPr>
        <w:t>выполнения работ</w:t>
      </w:r>
      <w:bookmarkEnd w:id="8"/>
      <w:r>
        <w:rPr>
          <w:sz w:val="22"/>
          <w:szCs w:val="22"/>
          <w:lang w:val="ru-RU"/>
        </w:rPr>
        <w:t xml:space="preserve">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Работы выполняются в рамках реализации проекта № 1050-71-2024/9-ТПиР-БЕЗ-2024  от 21.08.2024г. «Выполнение работ по разработке рабочей документации по созданию комплекса инженерно-технических средств защиты КРУЭ-500 кВ, монтажу и наладке систем безопасности КРУЭ-500 кВ Волжской ГЭС»</w:t>
      </w:r>
    </w:p>
    <w:p>
      <w:pPr>
        <w:pStyle w:val="Heading4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9" w:name="__RefHeading___Toc47661_2939175109"/>
      <w:bookmarkStart w:id="10" w:name="_Hlk48661047"/>
      <w:bookmarkStart w:id="11" w:name="_Toc125123768"/>
      <w:bookmarkEnd w:id="9"/>
      <w:r>
        <w:rPr>
          <w:sz w:val="22"/>
          <w:szCs w:val="22"/>
        </w:rPr>
        <w:t>Существующее положение</w:t>
      </w:r>
      <w:bookmarkEnd w:id="11"/>
      <w:r>
        <w:rPr>
          <w:sz w:val="22"/>
          <w:szCs w:val="22"/>
          <w:lang w:val="ru-RU"/>
        </w:rPr>
        <w:t xml:space="preserve"> </w:t>
      </w:r>
      <w:bookmarkEnd w:id="10"/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КРУЭ-500 кВ представляет собой отдельно стоящее здание на верхнем бьефе грунтовой плотины № 40 Волжской ГЭС.</w:t>
      </w:r>
    </w:p>
    <w:p>
      <w:pPr>
        <w:pStyle w:val="ListParagraph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>
          <w:sz w:val="22"/>
          <w:szCs w:val="22"/>
        </w:rPr>
      </w:pPr>
      <w:bookmarkStart w:id="12" w:name="__RefHeading___Toc47663_2939175109"/>
      <w:bookmarkStart w:id="13" w:name="_Toc125123769"/>
      <w:bookmarkEnd w:id="12"/>
      <w:r>
        <w:rPr>
          <w:sz w:val="22"/>
          <w:szCs w:val="22"/>
        </w:rPr>
        <w:t>Таблица 1. Перечень объектов заказчика</w:t>
      </w:r>
      <w:bookmarkEnd w:id="13"/>
    </w:p>
    <w:tbl>
      <w:tblPr>
        <w:tblW w:w="10063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1"/>
        <w:gridCol w:w="2160"/>
        <w:gridCol w:w="3685"/>
        <w:gridCol w:w="3406"/>
      </w:tblGrid>
      <w:tr>
        <w:trPr/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</w:tr>
      <w:tr>
        <w:trPr/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>
          <w:trHeight w:val="677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Периметральное ограждение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ПАО «РусГидро»-«Волжская ГЭС им. Ф.Г. Логинова» Российская Федерация, 404130, Волгоградская обл., г. Волжский, пр-т Ленина, д. 1А.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Здание КРУЭ-500кВ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0"/>
        <w:contextualSpacing w:val="false"/>
        <w:jc w:val="both"/>
        <w:rPr>
          <w:b w:val="false"/>
          <w:iCs/>
          <w:sz w:val="22"/>
          <w:szCs w:val="22"/>
        </w:rPr>
      </w:pPr>
      <w:r>
        <w:rPr>
          <w:b w:val="false"/>
          <w:iCs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Производство работ по устройству металлического сетчатого ограждения осуществляется:</w:t>
      </w:r>
    </w:p>
    <w:p>
      <w:pPr>
        <w:pStyle w:val="Normal"/>
        <w:jc w:val="both"/>
        <w:rPr>
          <w:sz w:val="21"/>
          <w:szCs w:val="21"/>
        </w:rPr>
      </w:pPr>
      <w:r>
        <w:rPr>
          <w:iCs/>
          <w:sz w:val="21"/>
          <w:szCs w:val="21"/>
        </w:rPr>
        <w:t>- вблизи объектов, находящихся под напряжением;</w:t>
      </w:r>
    </w:p>
    <w:p>
      <w:pPr>
        <w:pStyle w:val="Normal"/>
        <w:jc w:val="both"/>
        <w:rPr>
          <w:sz w:val="21"/>
          <w:szCs w:val="21"/>
        </w:rPr>
      </w:pPr>
      <w:r>
        <w:rPr>
          <w:iCs/>
          <w:sz w:val="21"/>
          <w:szCs w:val="21"/>
        </w:rPr>
        <w:t xml:space="preserve">- </w:t>
      </w:r>
      <w:r>
        <w:rPr>
          <w:iCs/>
          <w:color w:val="000000"/>
          <w:sz w:val="21"/>
          <w:szCs w:val="21"/>
        </w:rPr>
        <w:t>р</w:t>
      </w:r>
      <w:r>
        <w:rPr>
          <w:color w:val="000000"/>
          <w:sz w:val="21"/>
          <w:szCs w:val="21"/>
        </w:rPr>
        <w:t>азветвленной сети транспортных и инженерных коммуникаций;</w:t>
      </w:r>
    </w:p>
    <w:p>
      <w:pPr>
        <w:pStyle w:val="Normal"/>
        <w:rPr>
          <w:sz w:val="21"/>
          <w:szCs w:val="21"/>
        </w:rPr>
      </w:pPr>
      <w:r>
        <w:rPr>
          <w:color w:val="000000"/>
          <w:sz w:val="21"/>
          <w:szCs w:val="21"/>
        </w:rPr>
        <w:t>- стесненных условий для складирования материалов;</w:t>
      </w:r>
    </w:p>
    <w:p>
      <w:pPr>
        <w:pStyle w:val="Normal"/>
        <w:rPr>
          <w:sz w:val="21"/>
          <w:szCs w:val="21"/>
        </w:rPr>
      </w:pPr>
      <w:r>
        <w:rPr>
          <w:color w:val="000000"/>
          <w:sz w:val="21"/>
          <w:szCs w:val="21"/>
        </w:rPr>
        <w:t>- действующего технологического оборудования.</w:t>
      </w:r>
    </w:p>
    <w:p>
      <w:pPr>
        <w:pStyle w:val="Heading4"/>
        <w:numPr>
          <w:ilvl w:val="1"/>
          <w:numId w:val="3"/>
        </w:numPr>
        <w:ind w:left="709" w:hanging="709"/>
        <w:rPr>
          <w:sz w:val="21"/>
          <w:szCs w:val="21"/>
        </w:rPr>
      </w:pPr>
      <w:bookmarkStart w:id="14" w:name="__RefHeading___Toc47665_2939175109"/>
      <w:bookmarkStart w:id="15" w:name="_Toc51955848"/>
      <w:bookmarkStart w:id="16" w:name="_Toc51955852"/>
      <w:bookmarkStart w:id="17" w:name="_Toc51955689"/>
      <w:bookmarkStart w:id="18" w:name="_Toc51955738"/>
      <w:bookmarkStart w:id="19" w:name="_Toc51955802"/>
      <w:bookmarkStart w:id="20" w:name="_Toc51955850"/>
      <w:bookmarkStart w:id="21" w:name="_Toc51955851"/>
      <w:bookmarkStart w:id="22" w:name="_Toc51921827"/>
      <w:bookmarkStart w:id="23" w:name="_Toc51955690"/>
      <w:bookmarkStart w:id="24" w:name="_Toc51955739"/>
      <w:bookmarkStart w:id="25" w:name="_Toc51955684"/>
      <w:bookmarkStart w:id="26" w:name="_Toc51921828"/>
      <w:bookmarkStart w:id="27" w:name="_Toc51955691"/>
      <w:bookmarkStart w:id="28" w:name="_Toc51955740"/>
      <w:bookmarkStart w:id="29" w:name="_Toc51955804"/>
      <w:bookmarkStart w:id="30" w:name="_Toc51921829"/>
      <w:bookmarkStart w:id="31" w:name="_Toc51955692"/>
      <w:bookmarkStart w:id="32" w:name="_Toc51955741"/>
      <w:bookmarkStart w:id="33" w:name="_Toc51955805"/>
      <w:bookmarkStart w:id="34" w:name="_Toc51955854"/>
      <w:bookmarkStart w:id="35" w:name="_Toc51955801"/>
      <w:bookmarkStart w:id="36" w:name="_Toc51955853"/>
      <w:bookmarkStart w:id="37" w:name="_Toc51955688"/>
      <w:bookmarkStart w:id="38" w:name="_Toc51955735"/>
      <w:bookmarkStart w:id="39" w:name="_Toc125123770"/>
      <w:bookmarkStart w:id="40" w:name="_Toc51921825"/>
      <w:bookmarkStart w:id="41" w:name="_Toc51955847"/>
      <w:bookmarkStart w:id="42" w:name="_Toc51955798"/>
      <w:bookmarkStart w:id="43" w:name="_Toc51955734"/>
      <w:bookmarkStart w:id="44" w:name="_Toc51955685"/>
      <w:bookmarkStart w:id="45" w:name="_Toc51921822"/>
      <w:bookmarkStart w:id="46" w:name="_Toc51955846"/>
      <w:bookmarkStart w:id="47" w:name="_Toc51955797"/>
      <w:bookmarkStart w:id="48" w:name="_Toc51921821"/>
      <w:bookmarkStart w:id="49" w:name="_Toc51955733"/>
      <w:bookmarkStart w:id="50" w:name="_Toc51921823"/>
      <w:bookmarkStart w:id="51" w:name="_Toc51955849"/>
      <w:bookmarkStart w:id="52" w:name="_Toc51955800"/>
      <w:bookmarkStart w:id="53" w:name="_Toc51955736"/>
      <w:bookmarkStart w:id="54" w:name="_Toc51955687"/>
      <w:bookmarkStart w:id="55" w:name="_Toc51921824"/>
      <w:bookmarkStart w:id="56" w:name="_Toc51955799"/>
      <w:bookmarkStart w:id="57" w:name="_Toc51955737"/>
      <w:bookmarkStart w:id="58" w:name="_Toc51955803"/>
      <w:bookmarkStart w:id="59" w:name="_Toc51955686"/>
      <w:bookmarkStart w:id="60" w:name="_Toc5192182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>
          <w:sz w:val="21"/>
          <w:szCs w:val="21"/>
        </w:rPr>
        <w:t xml:space="preserve">Информация в отношении исполнения договора, </w:t>
      </w:r>
      <w:bookmarkStart w:id="61" w:name="_Hlk46492347"/>
      <w:r>
        <w:rPr>
          <w:sz w:val="21"/>
          <w:szCs w:val="21"/>
        </w:rPr>
        <w:t xml:space="preserve">которая должна быть учтена при подготовке заявки </w:t>
      </w:r>
      <w:bookmarkEnd w:id="61"/>
      <w:r>
        <w:rPr>
          <w:sz w:val="21"/>
          <w:szCs w:val="21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39"/>
      <w:r>
        <w:rPr>
          <w:sz w:val="21"/>
          <w:szCs w:val="21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bookmarkStart w:id="62" w:name="_Hlk48209615"/>
      <w:bookmarkEnd w:id="62"/>
      <w:r>
        <w:rPr>
          <w:i/>
          <w:iCs/>
          <w:sz w:val="21"/>
          <w:szCs w:val="21"/>
        </w:rPr>
        <w:t xml:space="preserve"> </w:t>
      </w:r>
      <w:r>
        <w:rPr>
          <w:i w:val="false"/>
          <w:iCs w:val="false"/>
          <w:sz w:val="21"/>
          <w:szCs w:val="21"/>
        </w:rPr>
        <w:t>Генеральный п</w:t>
      </w:r>
      <w:r>
        <w:rPr>
          <w:sz w:val="21"/>
          <w:szCs w:val="21"/>
        </w:rPr>
        <w:t xml:space="preserve">одрядчик </w:t>
      </w:r>
      <w:r>
        <w:rPr>
          <w:iCs/>
          <w:sz w:val="21"/>
          <w:szCs w:val="21"/>
        </w:rPr>
        <w:t xml:space="preserve">предоставляет </w:t>
      </w:r>
      <w:r>
        <w:rPr>
          <w:iCs/>
          <w:sz w:val="21"/>
          <w:szCs w:val="21"/>
        </w:rPr>
        <w:t>С</w:t>
      </w:r>
      <w:r>
        <w:rPr>
          <w:iCs/>
          <w:sz w:val="21"/>
          <w:szCs w:val="21"/>
        </w:rPr>
        <w:t xml:space="preserve">убподрядчику на время производства работ безвозмездно: 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r>
        <w:rPr>
          <w:rFonts w:eastAsia="Times New Roman"/>
          <w:iCs/>
          <w:sz w:val="21"/>
          <w:szCs w:val="21"/>
        </w:rPr>
        <w:t>Следующие виды ресурсов: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r>
        <w:rPr>
          <w:rFonts w:eastAsia="Times New Roman"/>
          <w:iCs/>
          <w:sz w:val="21"/>
          <w:szCs w:val="21"/>
        </w:rPr>
        <w:t>Электроэнергия;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r>
        <w:rPr>
          <w:rFonts w:eastAsia="Times New Roman"/>
          <w:iCs/>
          <w:sz w:val="21"/>
          <w:szCs w:val="21"/>
        </w:rPr>
        <w:t>Вода.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r>
        <w:rPr>
          <w:rFonts w:eastAsia="Times New Roman"/>
          <w:iCs/>
          <w:sz w:val="21"/>
          <w:szCs w:val="21"/>
        </w:rPr>
        <w:t>Материалы: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r>
        <w:rPr>
          <w:iCs/>
          <w:sz w:val="21"/>
          <w:szCs w:val="21"/>
        </w:rPr>
        <w:t>В соответствии с ведомостью объемов работ (</w:t>
      </w:r>
      <w:hyperlink w:anchor="Приложение_№_1_">
        <w:r>
          <w:rPr>
            <w:rStyle w:val="Hyperlink"/>
            <w:iCs/>
            <w:sz w:val="21"/>
            <w:szCs w:val="21"/>
          </w:rPr>
          <w:t>Приложение № 1</w:t>
        </w:r>
      </w:hyperlink>
      <w:r>
        <w:rPr>
          <w:iCs/>
          <w:sz w:val="21"/>
          <w:szCs w:val="21"/>
        </w:rPr>
        <w:t xml:space="preserve"> к настоящим Техническим требованиям).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uppressAutoHyphens w:val="true"/>
        <w:bidi w:val="0"/>
        <w:spacing w:before="0" w:after="120"/>
        <w:ind w:left="0" w:right="0" w:hanging="0"/>
        <w:contextualSpacing/>
        <w:jc w:val="both"/>
        <w:rPr>
          <w:sz w:val="21"/>
          <w:szCs w:val="21"/>
        </w:rPr>
      </w:pPr>
      <w:r>
        <w:rPr>
          <w:iCs/>
          <w:sz w:val="21"/>
          <w:szCs w:val="21"/>
        </w:rPr>
        <w:t>Материалы передаются Субподрядчику по накладным М-15 по письменной заявке и учитываются в сметном расчете как давальческие с нулевой стоимостью.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sz w:val="21"/>
          <w:szCs w:val="21"/>
        </w:rPr>
      </w:pPr>
      <w:r>
        <w:rPr>
          <w:iCs/>
          <w:sz w:val="21"/>
          <w:szCs w:val="21"/>
        </w:rPr>
        <w:t>Площади для складирования материалов.</w:t>
      </w:r>
    </w:p>
    <w:p>
      <w:pPr>
        <w:pStyle w:val="Heading1"/>
        <w:numPr>
          <w:ilvl w:val="0"/>
          <w:numId w:val="3"/>
        </w:numPr>
        <w:ind w:left="0" w:hanging="0"/>
        <w:jc w:val="left"/>
        <w:rPr>
          <w:sz w:val="22"/>
          <w:szCs w:val="22"/>
        </w:rPr>
      </w:pPr>
      <w:bookmarkStart w:id="63" w:name="__RefHeading___Toc47667_2939175109"/>
      <w:bookmarkStart w:id="64" w:name="_Toc51921656"/>
      <w:bookmarkStart w:id="65" w:name="_Toc125123771"/>
      <w:bookmarkEnd w:id="63"/>
      <w:r>
        <w:rPr>
          <w:sz w:val="22"/>
          <w:szCs w:val="22"/>
        </w:rPr>
        <w:t>Требования к продукции</w:t>
      </w:r>
      <w:bookmarkEnd w:id="64"/>
      <w:bookmarkEnd w:id="65"/>
    </w:p>
    <w:p>
      <w:pPr>
        <w:pStyle w:val="Heading4"/>
        <w:numPr>
          <w:ilvl w:val="1"/>
          <w:numId w:val="3"/>
        </w:numPr>
        <w:ind w:left="709" w:hanging="709"/>
        <w:rPr>
          <w:sz w:val="22"/>
          <w:szCs w:val="22"/>
        </w:rPr>
      </w:pPr>
      <w:bookmarkStart w:id="66" w:name="__RefHeading___Toc47669_2939175109"/>
      <w:bookmarkStart w:id="67" w:name="_Toc125123772"/>
      <w:bookmarkEnd w:id="66"/>
      <w:r>
        <w:rPr>
          <w:sz w:val="22"/>
          <w:szCs w:val="22"/>
        </w:rPr>
        <w:t>Требования к объемам и срокам выполнения работ</w:t>
      </w:r>
      <w:bookmarkEnd w:id="67"/>
    </w:p>
    <w:p>
      <w:pPr>
        <w:pStyle w:val="Heading3"/>
        <w:numPr>
          <w:ilvl w:val="2"/>
          <w:numId w:val="3"/>
        </w:numPr>
        <w:ind w:left="709" w:hanging="709"/>
        <w:rPr>
          <w:sz w:val="22"/>
          <w:szCs w:val="22"/>
        </w:rPr>
      </w:pPr>
      <w:bookmarkStart w:id="68" w:name="__RefHeading___Toc47671_2939175109"/>
      <w:bookmarkStart w:id="69" w:name="_Toc51921657"/>
      <w:bookmarkStart w:id="70" w:name="_Toc125123773"/>
      <w:bookmarkEnd w:id="68"/>
      <w:r>
        <w:rPr>
          <w:sz w:val="22"/>
          <w:szCs w:val="22"/>
        </w:rPr>
        <w:t>Требования к видам и объемам работ</w:t>
      </w:r>
      <w:bookmarkEnd w:id="69"/>
      <w:bookmarkEnd w:id="70"/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>
          <w:sz w:val="22"/>
          <w:szCs w:val="22"/>
        </w:rPr>
      </w:pPr>
      <w:bookmarkStart w:id="71" w:name="__RefHeading___Toc47673_2939175109"/>
      <w:bookmarkStart w:id="72" w:name="_Toc125123774"/>
      <w:bookmarkStart w:id="73" w:name="_Toc51921658"/>
      <w:bookmarkStart w:id="74" w:name="_Toc35351358"/>
      <w:bookmarkEnd w:id="71"/>
      <w:r>
        <w:rPr>
          <w:sz w:val="22"/>
          <w:szCs w:val="22"/>
        </w:rPr>
        <w:t>Таблица</w:t>
      </w:r>
      <w:r>
        <w:rPr>
          <w:sz w:val="22"/>
          <w:szCs w:val="22"/>
          <w:lang w:val="ru-RU"/>
        </w:rPr>
        <w:t> 2</w:t>
      </w:r>
      <w:r>
        <w:rPr>
          <w:sz w:val="22"/>
          <w:szCs w:val="22"/>
        </w:rPr>
        <w:t xml:space="preserve">. </w:t>
      </w:r>
      <w:bookmarkEnd w:id="74"/>
      <w:r>
        <w:rPr>
          <w:sz w:val="22"/>
          <w:szCs w:val="22"/>
          <w:lang w:val="ru-RU"/>
        </w:rPr>
        <w:t>Перечень и объем выполняемых работ</w:t>
      </w:r>
      <w:bookmarkEnd w:id="72"/>
      <w:bookmarkEnd w:id="73"/>
    </w:p>
    <w:tbl>
      <w:tblPr>
        <w:tblW w:w="9698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8"/>
        <w:gridCol w:w="4111"/>
        <w:gridCol w:w="2697"/>
        <w:gridCol w:w="2151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/ этапа работ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комплекса работ по монтажу инженерных заграждений и сооружений</w:t>
            </w:r>
          </w:p>
        </w:tc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iCs/>
                <w:sz w:val="22"/>
                <w:szCs w:val="22"/>
              </w:rPr>
              <w:t>В соответствии с ведомостью объемов работ (</w:t>
            </w:r>
            <w:hyperlink w:anchor="Приложение_№_1_">
              <w:r>
                <w:rPr>
                  <w:rStyle w:val="Hyperlink"/>
                  <w:iCs/>
                  <w:sz w:val="22"/>
                  <w:szCs w:val="22"/>
                </w:rPr>
                <w:t>Приложение № 1</w:t>
              </w:r>
            </w:hyperlink>
            <w:r>
              <w:rPr>
                <w:iCs/>
                <w:sz w:val="22"/>
                <w:szCs w:val="22"/>
              </w:rPr>
              <w:t xml:space="preserve"> к настоящим Техническим требованиям)</w:t>
            </w:r>
          </w:p>
        </w:tc>
      </w:tr>
    </w:tbl>
    <w:p>
      <w:pPr>
        <w:pStyle w:val="Heading3"/>
        <w:numPr>
          <w:ilvl w:val="2"/>
          <w:numId w:val="3"/>
        </w:numPr>
        <w:ind w:left="709" w:hanging="709"/>
        <w:rPr>
          <w:sz w:val="22"/>
          <w:szCs w:val="22"/>
        </w:rPr>
      </w:pPr>
      <w:bookmarkStart w:id="75" w:name="__RefHeading___Toc47675_2939175109"/>
      <w:bookmarkStart w:id="76" w:name="_Toc125123775"/>
      <w:bookmarkStart w:id="77" w:name="_Toc51921659"/>
      <w:bookmarkEnd w:id="75"/>
      <w:r>
        <w:rPr>
          <w:sz w:val="22"/>
          <w:szCs w:val="22"/>
        </w:rPr>
        <w:t>Требования к срокам выполнения работ</w:t>
      </w:r>
      <w:bookmarkStart w:id="78" w:name="_Toc51921660"/>
      <w:bookmarkEnd w:id="76"/>
      <w:bookmarkEnd w:id="77"/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>
          <w:sz w:val="22"/>
          <w:szCs w:val="22"/>
        </w:rPr>
      </w:pPr>
      <w:bookmarkStart w:id="79" w:name="__RefHeading___Toc47677_2939175109"/>
      <w:bookmarkStart w:id="80" w:name="_Toc125123776"/>
      <w:bookmarkEnd w:id="79"/>
      <w:r>
        <w:rPr>
          <w:sz w:val="22"/>
          <w:szCs w:val="22"/>
        </w:rPr>
        <w:t>Таблица 3. Требования по срокам выполнения работ</w:t>
      </w:r>
      <w:bookmarkEnd w:id="78"/>
      <w:bookmarkEnd w:id="80"/>
    </w:p>
    <w:p>
      <w:pPr>
        <w:pStyle w:val="Normal"/>
        <w:widowControl w:val="false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</w:r>
    </w:p>
    <w:tbl>
      <w:tblPr>
        <w:tblW w:w="9805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58"/>
        <w:gridCol w:w="3415"/>
        <w:gridCol w:w="2227"/>
        <w:gridCol w:w="2904"/>
      </w:tblGrid>
      <w:tr>
        <w:trPr/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Выполнение комплекса работ по монтажу инженерных заграждений и сооружений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30.06.2027 г.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sz w:val="22"/>
          <w:szCs w:val="22"/>
        </w:rPr>
      </w:pPr>
      <w:bookmarkStart w:id="81" w:name="__RefHeading___Toc47679_2939175109"/>
      <w:bookmarkStart w:id="82" w:name="_Toc125123777"/>
      <w:bookmarkEnd w:id="81"/>
      <w:r>
        <w:rPr>
          <w:sz w:val="22"/>
          <w:szCs w:val="22"/>
        </w:rPr>
        <w:t>Требования к качеству работ</w:t>
      </w:r>
      <w:bookmarkEnd w:id="82"/>
    </w:p>
    <w:p>
      <w:pPr>
        <w:pStyle w:val="Style28"/>
        <w:numPr>
          <w:ilvl w:val="0"/>
          <w:numId w:val="0"/>
        </w:numPr>
        <w:spacing w:before="60" w:after="120"/>
        <w:ind w:left="0" w:hanging="0"/>
        <w:contextualSpacing/>
        <w:jc w:val="left"/>
        <w:outlineLvl w:val="0"/>
        <w:rPr>
          <w:sz w:val="22"/>
          <w:szCs w:val="22"/>
        </w:rPr>
      </w:pPr>
      <w:bookmarkStart w:id="83" w:name="__RefHeading___Toc47681_2939175109"/>
      <w:bookmarkStart w:id="84" w:name="_Toc51921661"/>
      <w:bookmarkStart w:id="85" w:name="_Toc125123778"/>
      <w:bookmarkEnd w:id="83"/>
      <w:r>
        <w:rPr>
          <w:sz w:val="22"/>
          <w:szCs w:val="22"/>
        </w:rPr>
        <w:t>Таблица 4. Требования к качеству работ</w:t>
      </w:r>
      <w:bookmarkEnd w:id="84"/>
      <w:bookmarkEnd w:id="85"/>
      <w:r>
        <w:rPr>
          <w:sz w:val="22"/>
          <w:szCs w:val="22"/>
        </w:rPr>
        <w:t xml:space="preserve"> </w:t>
      </w:r>
    </w:p>
    <w:p>
      <w:pPr>
        <w:pStyle w:val="Normal"/>
        <w:rPr>
          <w:sz w:val="22"/>
          <w:szCs w:val="22"/>
        </w:rPr>
      </w:pPr>
      <w:r>
        <w:rPr>
          <w:b/>
          <w:sz w:val="22"/>
          <w:szCs w:val="22"/>
        </w:rPr>
        <w:t>Наименование работ (позиция № 1 Таблицы 2):</w:t>
      </w:r>
      <w:r>
        <w:rPr>
          <w:b w:val="false"/>
          <w:bCs w:val="false"/>
          <w:sz w:val="22"/>
          <w:szCs w:val="22"/>
        </w:rPr>
        <w:t xml:space="preserve"> Выполнение комплекса работ по монтажу инженерных заграждений и сооружений</w:t>
      </w:r>
    </w:p>
    <w:tbl>
      <w:tblPr>
        <w:tblStyle w:val="affff7"/>
        <w:tblW w:w="15217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6"/>
        <w:gridCol w:w="1945"/>
        <w:gridCol w:w="8549"/>
        <w:gridCol w:w="2330"/>
        <w:gridCol w:w="1467"/>
      </w:tblGrid>
      <w:tr>
        <w:trPr/>
        <w:tc>
          <w:tcPr>
            <w:tcW w:w="92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194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854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Требование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Генерального подрядчика</w:t>
            </w:r>
          </w:p>
        </w:tc>
        <w:tc>
          <w:tcPr>
            <w:tcW w:w="37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4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54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34" w:hRule="atLeast"/>
        </w:trPr>
        <w:tc>
          <w:tcPr>
            <w:tcW w:w="926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9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8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8549" w:type="dxa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 xml:space="preserve">При выполнении работ </w:t>
            </w: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-«Правила организации технического обслуживания и ремонта объектов электроэнергетики», зарегистрирован 26.03.2019; приказ Минэнерго России от 25.10.2017 №1013;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-Правила по охране труда при эксплуатации электроустановок», приказ Минтруда России от 15.12.2020 №903н;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-Приказ №461 от 26.11.2020 г. 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 Правила по охране труда при работе с инструментом и приспособлениями», утвержденные Приказом Минтруда России от 27.11.2020 №835н;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 Правила по охране труда при размещении, монтаже, техническом обслуживании и ремонте технологического оборудования», утв. Приказом Минтруда России от 27.11.2020 №833н;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-«Правила по охране труда при погрузочно-разгрузочных работах и размещении грузов», утвержденные приказом Министерства труда и социальной защиты Российской Федерации от 28.10.2020 № 753н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-«Инструкции по обращению с отходами производства и потребления Волжской ГЭС»;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 Правил противопожарного режима в Российской Федерации (утв. Постановлением РФ от 16 сентября 2020 г. №1479)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iCs/>
                <w:kern w:val="0"/>
                <w:sz w:val="22"/>
                <w:szCs w:val="22"/>
                <w:lang w:val="ru-RU" w:eastAsia="ru-RU" w:bidi="ar-SA"/>
              </w:rPr>
              <w:t>- РД 153-34.0-03.301-00 (ВППБ 01-02-95) «Правила пожарной безопасности для энергетических предприятий». приспособлениями» Зарегистрировано в Минюсте России 11 декабря 2020 г. N 61411 Приказ от 27 ноября 2020 г. N 835н;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/>
            </w:pPr>
            <w:r>
              <w:rPr>
                <w:rStyle w:val="Style8"/>
                <w:rFonts w:cs="Times New Roman"/>
                <w:b w:val="false"/>
                <w:i w:val="false"/>
                <w:iCs w:val="false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- Правила по охране труда при строительстве, реконструкции и ремонте, утвержденные Приказом Минтруда России от 11 декабря 2020 года N 883н.</w:t>
            </w:r>
          </w:p>
        </w:tc>
        <w:tc>
          <w:tcPr>
            <w:tcW w:w="23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90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1608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Организационно-технические мероприятия по допуску персонала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убподрядчика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- Допуск персонала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убподрядчика для выполнения работ осуществляться в соответствии с </w:t>
            </w:r>
            <w:bookmarkStart w:id="86" w:name="_Hlk125115769"/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Приказом ПАО «РусГидро от 28.04.2023 №300 Об утверждении Регламента процесса «Допуск персонала подрядных организаций на объекты ПАО «РусГидро»</w:t>
            </w:r>
            <w:bookmarkEnd w:id="86"/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с обязательным оформлением необходимых нарядов-допусков;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Подготовка рабочих мест и допуск к выполнению работ выполняет персонал Заказчика.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698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Организация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Разработка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убподрядчиком проектов производства работ (ППР) и технологических карт (ТК), в том числе на работы с применением подъемных сооружений (ПС), планов производства работ на высоте или технологических карт на производство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Организация работ по согласованию ППР и ТК входит в обязанности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убподрядчика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28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Требования к используемым материалам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Качество применяемых материалов подтверждается паспортами и сертификатами качества.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2258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Субподрядчик совместно с Генеральным подрядчиком осуществляет входной контроль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поступающих материалов и запасных частей, включающий в себя проверку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комплектности поставляемых материалов.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>
              <w:top w:val="single" w:sz="4" w:space="0" w:color="2A6099"/>
              <w:left w:val="single" w:sz="4" w:space="0" w:color="2A6099"/>
              <w:bottom w:val="single" w:sz="4" w:space="0" w:color="2A6099"/>
              <w:right w:val="single" w:sz="4" w:space="0" w:color="2A6099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Требования к персоналу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убподрядчика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b w:val="false"/>
                <w:iCs/>
                <w:sz w:val="22"/>
                <w:szCs w:val="22"/>
                <w:shd w:fill="auto" w:val="clear"/>
              </w:rPr>
            </w:pPr>
            <w:r>
              <w:rPr>
                <w:rFonts w:eastAsia="Calibri"/>
                <w:b w:val="false"/>
                <w:iCs/>
                <w:sz w:val="22"/>
                <w:szCs w:val="22"/>
                <w:shd w:fill="auto" w:val="clear"/>
              </w:rPr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/>
                <w:sz w:val="22"/>
                <w:szCs w:val="22"/>
              </w:rPr>
            </w:pPr>
            <w:bookmarkStart w:id="87" w:name="__RefHeading___Toc47683_2939175109"/>
            <w:bookmarkStart w:id="88" w:name="_Toc125123779"/>
            <w:bookmarkEnd w:id="87"/>
            <w:r>
              <w:rPr>
                <w:rFonts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  <w:t xml:space="preserve">Квалификация персонала </w:t>
            </w:r>
            <w:r>
              <w:rPr>
                <w:rFonts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b w:val="false"/>
                <w:iCs/>
                <w:kern w:val="0"/>
                <w:sz w:val="22"/>
                <w:szCs w:val="22"/>
                <w:lang w:val="ru-RU" w:eastAsia="ru-RU" w:bidi="ar-SA"/>
              </w:rPr>
              <w:t>убподрядчика, привлекаемого к выполнению работ</w:t>
            </w:r>
            <w:bookmarkEnd w:id="88"/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Привлекаемые к выполнению работ сотрудники должны: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быть старше 18 лет;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иметь группы по электробезопасности не ниже 2гр. в  соответствии с требованиями Правил по охране труда при эксплуатации электроустановок утв. Приказом Минтруда и соц. защиты РФ от 15 декабря 2020 года N 903н и прошедшие проверку знаний требований ПТЭЭСС.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До начала проведения работ в рамках исполнения договора после его заключения субподрядчик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сведения о лицах из указанного перечня, подтверждающие принадлежность данных лиц к субподрядчику (копии трудового договора или копии трудовых книжек или копии приказов о приёме на работу);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копию страниц паспорта;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справку об отсутствии судимости;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заполненную анкету 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согласие на обработку персональных и иных охраняемых законом данных;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копии удостоверений о проверки знаний Правил работы в электроустановках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копии протоколов проверки знаний Правил работы в электроустановках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копии документов подтверждающих обучение персонала по: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Общим вопросам охраны труда;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Оказание первой помощи пострадавшим;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-Безопасным методам и приемам выполнения работ при воздействии вредных и (или) опасных производственных факторов;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Использованию (применению) СИЗ;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копии свидетельств о прохождении обучения по повышению квалификации или дополнительных навыков (при необходимости);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копии документов подтверждающих прохождения медицинского осмотра и психиатрического и наркологического освидетельствования Заверенными руководителем организации.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- копию приказа создания аттестационной комиссии (при наличии), копии протоколов аттестации на всех членов комиссии по областям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А.1, В.2 обязательно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, Б.9.3, Б.9.4 по мере необходимости для выполнения работ, на ответственных за безопасное производство работ с применением ПС;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формы удостоверений при работах в электроустановках должны соответствовать требованиям правил по ОТ при эксплуатации электроустановок;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при отсутствии в организации ПДЭК предоставить копии протоколов проверки знаний в аттестационной комиссии РТН;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en-US" w:bidi="ar-SA"/>
              </w:rPr>
              <w:t>Субподрядчик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должен при производстве работ соблюдать: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   по    охране    труда     при   эксплуатации  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- СНиП 12-03-2001«Безопасность труда в строительстве» Часть 1.Общие требования, утвержденных Постановлением Госстроя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РФ от 23.07.2001 N 80, зарегистрированных в Минюсте РФ 09.08.2001 N 2862;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СНиП 12-04-2002 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ФЗ № 7 от 10.01.2002 г «Об охране окружающей среды»;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 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lang w:val="ru-RU" w:eastAsia="en-US" w:bidi="ar-SA"/>
              </w:rPr>
              <w:t>- 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100" w:hRule="atLeast"/>
        </w:trPr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Результат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Результат работ должн соответствовать: - выданной в производство работ РД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ru-RU" w:bidi="ar-SA"/>
              </w:rPr>
              <w:t>Предъявление Объекта комиссии Заказчика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iCs/>
                <w:kern w:val="0"/>
                <w:sz w:val="22"/>
                <w:szCs w:val="22"/>
                <w:lang w:val="ru-RU" w:eastAsia="ru-RU" w:bidi="ar-SA"/>
              </w:rPr>
              <w:t>Оформление отчетной и исполнительной документации</w:t>
            </w:r>
            <w:r>
              <w:rPr>
                <w:rFonts w:eastAsia="Times New Roman" w:cs="Times New Roman"/>
                <w:b w:val="false"/>
                <w:bCs w:val="false"/>
                <w:iCs/>
                <w:kern w:val="0"/>
                <w:sz w:val="22"/>
                <w:szCs w:val="22"/>
                <w:lang w:val="ru-RU" w:eastAsia="ru-RU" w:bidi="ar-SA"/>
              </w:rPr>
              <w:t>, указанных в п. 2.3.1 настоящей таблицы.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Документы, передаваемые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Генеральному подрядчику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 по результатам выполненных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Субподрядчик обязан одновременно с передачей актов </w:t>
            </w: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освидетельствования выполненных работ </w:t>
            </w: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передать Генеральному подрядчику Отчет о выполненных работах,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акты на скрытые работы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исполнительные чертежи, схемы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общий и специальный журналы учета выполнения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 сертификаты качества и паспорта на применённые материалы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- отчет об использовании давальческих материалов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Требования к ответственности и гарантиям Субподрядчика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Гарантийный срок по Договору составляет 36 (Тридцать шесть) месяцев и начинает течь с даты подписания Сторонами Акта КС-2, Справки КС-3,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left"/>
        <w:rPr>
          <w:sz w:val="22"/>
          <w:szCs w:val="22"/>
        </w:rPr>
      </w:pPr>
      <w:bookmarkStart w:id="89" w:name="__RefHeading___Toc47687_2939175109"/>
      <w:bookmarkStart w:id="90" w:name="_Toc125123781"/>
      <w:bookmarkStart w:id="91" w:name="_Toc54618151"/>
      <w:bookmarkStart w:id="92" w:name="_Toc54279844"/>
      <w:bookmarkEnd w:id="89"/>
      <w:r>
        <w:rPr>
          <w:sz w:val="22"/>
          <w:szCs w:val="22"/>
        </w:rPr>
        <w:t>Требования к документации по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ценообразованию на этапе закупки</w:t>
      </w:r>
      <w:bookmarkEnd w:id="90"/>
      <w:bookmarkEnd w:id="91"/>
      <w:bookmarkEnd w:id="92"/>
    </w:p>
    <w:p>
      <w:pPr>
        <w:pStyle w:val="Heading4"/>
        <w:numPr>
          <w:ilvl w:val="1"/>
          <w:numId w:val="3"/>
        </w:numPr>
        <w:ind w:left="1418" w:hanging="709"/>
        <w:jc w:val="left"/>
        <w:rPr>
          <w:sz w:val="22"/>
          <w:szCs w:val="22"/>
        </w:rPr>
      </w:pPr>
      <w:bookmarkStart w:id="93" w:name="__RefHeading___Toc47689_2939175109"/>
      <w:bookmarkStart w:id="94" w:name="_Toc125123782"/>
      <w:bookmarkStart w:id="95" w:name="_Hlk67315138"/>
      <w:bookmarkEnd w:id="93"/>
      <w:bookmarkEnd w:id="95"/>
      <w:r>
        <w:rPr>
          <w:b w:val="false"/>
          <w:bCs w:val="false"/>
          <w:iCs/>
          <w:sz w:val="22"/>
          <w:szCs w:val="22"/>
        </w:rPr>
        <w:t>В обоснование стоимости своей заявки Участник предостав</w:t>
      </w:r>
      <w:r>
        <w:rPr>
          <w:b w:val="false"/>
          <w:bCs w:val="false"/>
          <w:iCs/>
          <w:sz w:val="22"/>
          <w:szCs w:val="22"/>
          <w:lang w:val="ru-RU"/>
        </w:rPr>
        <w:t>ляет</w:t>
      </w:r>
      <w:r>
        <w:rPr>
          <w:b w:val="false"/>
          <w:bCs w:val="false"/>
          <w:iCs/>
          <w:sz w:val="22"/>
          <w:szCs w:val="22"/>
        </w:rPr>
        <w:t xml:space="preserve"> Коммерческое предложение по форме</w:t>
      </w:r>
      <w:r>
        <w:rPr>
          <w:b w:val="false"/>
          <w:bCs w:val="false"/>
          <w:iCs/>
          <w:sz w:val="22"/>
          <w:szCs w:val="22"/>
          <w:lang w:val="ru-RU"/>
        </w:rPr>
        <w:t xml:space="preserve"> (с учетом прилагаемой к ней инструкции по заполнению)</w:t>
      </w:r>
      <w:r>
        <w:rPr>
          <w:b w:val="false"/>
          <w:bCs w:val="false"/>
          <w:iCs/>
          <w:sz w:val="22"/>
          <w:szCs w:val="22"/>
        </w:rPr>
        <w:t>, приведенной в Документации о закупке (с указанием понижающего коэффициента).</w:t>
      </w:r>
      <w:bookmarkEnd w:id="94"/>
    </w:p>
    <w:p>
      <w:pPr>
        <w:pStyle w:val="Heading4"/>
        <w:numPr>
          <w:ilvl w:val="1"/>
          <w:numId w:val="3"/>
        </w:numPr>
        <w:ind w:left="1418" w:hanging="709"/>
        <w:jc w:val="left"/>
        <w:rPr>
          <w:sz w:val="22"/>
          <w:szCs w:val="22"/>
        </w:rPr>
      </w:pPr>
      <w:bookmarkStart w:id="96" w:name="__RefHeading___Toc47691_2939175109"/>
      <w:bookmarkStart w:id="97" w:name="_Toc125123783"/>
      <w:bookmarkEnd w:id="96"/>
      <w:r>
        <w:rPr>
          <w:b w:val="false"/>
          <w:iCs/>
          <w:sz w:val="22"/>
          <w:szCs w:val="22"/>
        </w:rPr>
        <w:t xml:space="preserve">Дополнительные документы по ценообразованию </w:t>
      </w:r>
      <w:r>
        <w:rPr>
          <w:b w:val="false"/>
          <w:iCs/>
          <w:sz w:val="22"/>
          <w:szCs w:val="22"/>
          <w:lang w:val="ru-RU"/>
        </w:rPr>
        <w:t>(сметная</w:t>
      </w:r>
      <w:r>
        <w:rPr>
          <w:b w:val="false"/>
          <w:iCs/>
          <w:sz w:val="22"/>
          <w:szCs w:val="22"/>
        </w:rPr>
        <w:t xml:space="preserve"> документация</w:t>
      </w:r>
      <w:r>
        <w:rPr>
          <w:b w:val="false"/>
          <w:iCs/>
          <w:sz w:val="22"/>
          <w:szCs w:val="22"/>
          <w:lang w:val="ru-RU"/>
        </w:rPr>
        <w:t>)</w:t>
      </w:r>
      <w:r>
        <w:rPr>
          <w:b w:val="false"/>
          <w:iCs/>
          <w:sz w:val="22"/>
          <w:szCs w:val="22"/>
        </w:rPr>
        <w:t xml:space="preserve"> в состав заявки Участника не включа</w:t>
      </w:r>
      <w:r>
        <w:rPr>
          <w:b w:val="false"/>
          <w:iCs/>
          <w:sz w:val="22"/>
          <w:szCs w:val="22"/>
          <w:lang w:val="ru-RU"/>
        </w:rPr>
        <w:t>ю</w:t>
      </w:r>
      <w:r>
        <w:rPr>
          <w:b w:val="false"/>
          <w:iCs/>
          <w:sz w:val="22"/>
          <w:szCs w:val="22"/>
        </w:rPr>
        <w:t>тся.</w:t>
      </w:r>
      <w:bookmarkEnd w:id="97"/>
    </w:p>
    <w:p>
      <w:pPr>
        <w:pStyle w:val="Normal"/>
        <w:jc w:val="left"/>
        <w:rPr>
          <w:lang w:val="x-none" w:eastAsia="x-none"/>
        </w:rPr>
      </w:pPr>
      <w:r>
        <w:rPr>
          <w:lang w:val="x-none" w:eastAsia="x-none"/>
        </w:rPr>
      </w:r>
      <w:bookmarkStart w:id="98" w:name="_Hlk673151381"/>
      <w:bookmarkStart w:id="99" w:name="_Hlk673151381"/>
      <w:bookmarkEnd w:id="99"/>
    </w:p>
    <w:p>
      <w:pPr>
        <w:pStyle w:val="Heading1"/>
        <w:numPr>
          <w:ilvl w:val="0"/>
          <w:numId w:val="3"/>
        </w:numPr>
        <w:ind w:left="0" w:hanging="0"/>
        <w:jc w:val="left"/>
        <w:rPr>
          <w:sz w:val="22"/>
          <w:szCs w:val="22"/>
        </w:rPr>
      </w:pPr>
      <w:bookmarkStart w:id="100" w:name="__RefHeading___Toc47693_2939175109"/>
      <w:bookmarkStart w:id="101" w:name="_Toc54279845"/>
      <w:bookmarkStart w:id="102" w:name="_Toc54618152"/>
      <w:bookmarkStart w:id="103" w:name="_Toc125123784"/>
      <w:bookmarkEnd w:id="100"/>
      <w:r>
        <w:rPr>
          <w:sz w:val="22"/>
          <w:szCs w:val="22"/>
        </w:rPr>
        <w:t xml:space="preserve">Требования к документации по ценообразованию на этапе </w:t>
      </w:r>
      <w:r>
        <w:rPr>
          <w:sz w:val="22"/>
          <w:szCs w:val="22"/>
          <w:lang w:val="ru-RU"/>
        </w:rPr>
        <w:t xml:space="preserve"> исполнения</w:t>
      </w:r>
      <w:r>
        <w:rPr>
          <w:sz w:val="22"/>
          <w:szCs w:val="22"/>
        </w:rPr>
        <w:t xml:space="preserve"> договора</w:t>
      </w:r>
      <w:bookmarkEnd w:id="101"/>
      <w:bookmarkEnd w:id="102"/>
      <w:bookmarkEnd w:id="103"/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left"/>
        <w:rPr>
          <w:sz w:val="22"/>
          <w:szCs w:val="22"/>
        </w:rPr>
      </w:pPr>
      <w:r>
        <w:rPr>
          <w:iCs/>
          <w:sz w:val="22"/>
          <w:szCs w:val="22"/>
          <w:lang w:eastAsia="x-none"/>
        </w:rPr>
        <w:t>По результатам настоящей закупки заключается договор с предельной ценой.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left"/>
        <w:rPr>
          <w:sz w:val="22"/>
          <w:szCs w:val="22"/>
        </w:rPr>
      </w:pPr>
      <w:r>
        <w:rPr>
          <w:iCs/>
          <w:sz w:val="22"/>
          <w:szCs w:val="22"/>
          <w:shd w:fill="auto" w:val="clear"/>
          <w:lang w:eastAsia="x-none"/>
        </w:rPr>
        <w:t>В рамках исполнения договора взаиморасчеты будут осуществляться по смете, выданной Генеральным подрядчиком в производство работ.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left"/>
        <w:rPr>
          <w:sz w:val="22"/>
          <w:szCs w:val="22"/>
        </w:rPr>
      </w:pPr>
      <w:r>
        <w:rPr>
          <w:iCs/>
          <w:sz w:val="22"/>
          <w:szCs w:val="22"/>
          <w:lang w:eastAsia="x-none"/>
        </w:rPr>
        <w:t>Генподрядный коэффициент составляет 5% и начисляется в каждой локальной смете к итогу.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left"/>
        <w:rPr>
          <w:sz w:val="22"/>
          <w:szCs w:val="22"/>
        </w:rPr>
      </w:pPr>
      <w:r>
        <w:rPr>
          <w:iCs/>
          <w:sz w:val="22"/>
          <w:szCs w:val="22"/>
          <w:lang w:eastAsia="x-none"/>
        </w:rPr>
        <w:t>В случае если стоимость по смете, выданной в производство работ, будет превышать стоимость, указанную в Коммерческом предложении, в ходе исполнения договора Субподрядчику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left"/>
        <w:rPr>
          <w:sz w:val="22"/>
          <w:szCs w:val="22"/>
        </w:rPr>
      </w:pPr>
      <w:r>
        <w:rPr>
          <w:iCs/>
          <w:sz w:val="22"/>
          <w:szCs w:val="22"/>
          <w:lang w:eastAsia="x-none"/>
        </w:rPr>
        <w:t>В случае если стоимость по смете, выданной в производство 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>
      <w:pPr>
        <w:pStyle w:val="Heading1"/>
        <w:keepNext w:val="false"/>
        <w:numPr>
          <w:ilvl w:val="0"/>
          <w:numId w:val="3"/>
        </w:numPr>
        <w:ind w:left="0" w:hanging="0"/>
        <w:jc w:val="left"/>
        <w:rPr>
          <w:sz w:val="22"/>
          <w:szCs w:val="22"/>
        </w:rPr>
      </w:pPr>
      <w:bookmarkStart w:id="104" w:name="__RefHeading___Toc47695_2939175109"/>
      <w:bookmarkStart w:id="105" w:name="_Toc54457704"/>
      <w:bookmarkStart w:id="106" w:name="_Hlk673152081"/>
      <w:bookmarkStart w:id="107" w:name="_Toc54459814"/>
      <w:bookmarkStart w:id="108" w:name="_Toc54279846"/>
      <w:bookmarkStart w:id="109" w:name="_Toc54279725"/>
      <w:bookmarkStart w:id="110" w:name="_Toc125123785"/>
      <w:bookmarkEnd w:id="104"/>
      <w:bookmarkEnd w:id="105"/>
      <w:bookmarkEnd w:id="106"/>
      <w:bookmarkEnd w:id="107"/>
      <w:bookmarkEnd w:id="108"/>
      <w:bookmarkEnd w:id="109"/>
      <w:r>
        <w:rPr>
          <w:sz w:val="22"/>
          <w:szCs w:val="22"/>
        </w:rPr>
        <w:t>Приложения</w:t>
      </w:r>
      <w:bookmarkEnd w:id="110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left"/>
        <w:rPr>
          <w:sz w:val="22"/>
          <w:szCs w:val="22"/>
        </w:rPr>
      </w:pPr>
      <w:r>
        <w:rPr>
          <w:bCs/>
          <w:iCs/>
          <w:sz w:val="22"/>
          <w:szCs w:val="22"/>
        </w:rPr>
        <w:t xml:space="preserve">Приложение № 1: </w:t>
      </w:r>
      <w:bookmarkStart w:id="111" w:name="_Hlk87545766"/>
      <w:r>
        <w:rPr>
          <w:bCs/>
          <w:iCs/>
          <w:sz w:val="22"/>
          <w:szCs w:val="22"/>
        </w:rPr>
        <w:t>Ведомость объёмов работ</w:t>
      </w:r>
      <w:bookmarkEnd w:id="111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left"/>
        <w:rPr/>
      </w:pPr>
      <w:hyperlink w:anchor="Приложение_№2">
        <w:r>
          <w:rPr>
            <w:rStyle w:val="Hyperlink"/>
            <w:bCs/>
            <w:sz w:val="22"/>
            <w:szCs w:val="22"/>
          </w:rPr>
          <w:t>Приложение № 2</w:t>
        </w:r>
      </w:hyperlink>
      <w:r>
        <w:rPr>
          <w:bCs/>
          <w:sz w:val="22"/>
          <w:szCs w:val="22"/>
        </w:rPr>
        <w:t>: Требования к оформлению и составлению документации по ценообразованию.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left"/>
        <w:rPr/>
      </w:pPr>
      <w:r>
        <w:rPr>
          <w:rStyle w:val="Style8"/>
          <w:b w:val="false"/>
          <w:bCs/>
          <w:i w:val="false"/>
          <w:iCs w:val="false"/>
          <w:sz w:val="22"/>
          <w:szCs w:val="22"/>
          <w:shd w:fill="auto" w:val="clear"/>
        </w:rPr>
        <w:t>Приложение № 3: Приказ ПАО «РусГидро» от 28.04.2023 №300 Об утверждении Регламента «Допуск персонала подрядных организаций на объекты ПАО «РусГидро».</w:t>
      </w:r>
    </w:p>
    <w:p>
      <w:pPr>
        <w:pStyle w:val="ListParagraph"/>
        <w:keepNext w:val="true"/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before="0" w:after="0"/>
        <w:contextualSpacing w:val="false"/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br w:type="page"/>
      </w:r>
    </w:p>
    <w:p>
      <w:pPr>
        <w:pStyle w:val="Normal"/>
        <w:jc w:val="right"/>
        <w:rPr/>
      </w:pPr>
      <w:bookmarkStart w:id="112" w:name="Приложение_№_1_"/>
      <w:r>
        <w:rPr>
          <w:bCs/>
          <w:sz w:val="24"/>
          <w:szCs w:val="24"/>
        </w:rPr>
        <w:t xml:space="preserve">Приложение № 1 </w:t>
      </w:r>
      <w:bookmarkEnd w:id="112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 Техническому заданию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Ведомость объёмов работ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Cs/>
          <w:iCs/>
          <w:sz w:val="24"/>
          <w:szCs w:val="24"/>
        </w:rPr>
        <w:t>«</w:t>
      </w:r>
      <w:r>
        <w:rPr>
          <w:rFonts w:eastAsia="Calibri"/>
          <w:b w:val="false"/>
          <w:bCs w:val="false"/>
          <w:iCs/>
          <w:sz w:val="24"/>
          <w:szCs w:val="24"/>
        </w:rPr>
        <w:t>Выполнение комплекса работ по монтажу инженерных заграждений и сооружений</w:t>
      </w:r>
      <w:r>
        <w:rPr>
          <w:rFonts w:eastAsia="Calibri"/>
          <w:bCs/>
          <w:iCs/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2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10"/>
        <w:gridCol w:w="6288"/>
        <w:gridCol w:w="791"/>
        <w:gridCol w:w="971"/>
        <w:gridCol w:w="1622"/>
      </w:tblGrid>
      <w:tr>
        <w:trPr>
          <w:trHeight w:val="720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28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7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>
        <w:trPr>
          <w:trHeight w:val="240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8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Предупредительное (наружное) ограждение с панелями высотой 2200 мм (ПО-2)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  <w:br/>
            </w:r>
            <w:r>
              <w:rPr>
                <w:sz w:val="16"/>
                <w:szCs w:val="16"/>
              </w:rPr>
              <w:t>5*1,02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5(3)-10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1,5755</w:t>
              <w:br/>
            </w:r>
            <w:r>
              <w:rPr>
                <w:sz w:val="16"/>
                <w:szCs w:val="16"/>
              </w:rPr>
              <w:t>1,37*1,15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81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подземной части, труба квадратного сечения 80х80 мм с фланцем 210х210х10 мм, L=1500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опор на фланцах на нижестоящие опоры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0,812</w:t>
              <w:br/>
            </w:r>
            <w:r>
              <w:rPr>
                <w:sz w:val="16"/>
                <w:szCs w:val="16"/>
              </w:rPr>
              <w:t>(14*45+14*2+28*2+14*7)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9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4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5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внутреннего угла из двух опор из треугольной профильной трубы 90х90х90 мм (поперечное сечение 80х80 мм),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3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для наружного угла 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заграждений из готовых металлических решетчатых панелей: высотой более 2 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56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ограждения В2200xШ3000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крепления панели ограждения ФП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спиральных с креплением на кронштейнах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СББ диаметр 600 мм, кол-во витков 50 шт./бухта, шипы 0.5 мм, диаметр сердечника 2.5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для СББ АКЛ ГАН-60Г/ГР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для крепления проволоки ФК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6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7,395</w:t>
              <w:br/>
            </w:r>
            <w:r>
              <w:rPr>
                <w:sz w:val="16"/>
                <w:szCs w:val="16"/>
              </w:rPr>
              <w:t>4,35*1,7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Ворота распашные Вр-2, 2400х6000 мм в составе с верхнем дополнительным ограждением и электроприводом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Шнековое бурение скважин станками типа СО-2 глубиной бурения до 6 м в грунтах группы: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4,35</w:t>
              <w:br/>
            </w:r>
            <w:r>
              <w:rPr>
                <w:sz w:val="16"/>
                <w:szCs w:val="16"/>
              </w:rPr>
              <w:t>2,175*2*1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1,768</w:t>
              <w:br/>
            </w:r>
            <w:r>
              <w:rPr>
                <w:sz w:val="16"/>
                <w:szCs w:val="16"/>
              </w:rPr>
              <w:t>1,04*1,7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0,154</w:t>
              <w:br/>
            </w:r>
            <w:r>
              <w:rPr>
                <w:sz w:val="16"/>
                <w:szCs w:val="16"/>
              </w:rPr>
              <w:t>0,14*1,1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0,8364</w:t>
              <w:br/>
            </w:r>
            <w:r>
              <w:rPr>
                <w:sz w:val="16"/>
                <w:szCs w:val="16"/>
              </w:rPr>
              <w:t>0,82*1,02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закладных деталей весом: свыше 20 кг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0,092</w:t>
              <w:br/>
            </w:r>
            <w:r>
              <w:rPr>
                <w:sz w:val="16"/>
                <w:szCs w:val="16"/>
              </w:rPr>
              <w:t>2*46/1000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Детали закладные и накладные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0,092</w:t>
              <w:br/>
            </w:r>
            <w:r>
              <w:rPr>
                <w:sz w:val="16"/>
                <w:szCs w:val="16"/>
              </w:rPr>
              <w:t>2*46/1000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ворот распашных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кронштейнов на столбах и створках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привода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фотоэлемента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сигнальной лампы, кнопки STOP, замка электромагнитного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  <w:br/>
            </w:r>
            <w:r>
              <w:rPr>
                <w:sz w:val="16"/>
                <w:szCs w:val="16"/>
              </w:rPr>
              <w:t>2*1+2*1+2*1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светофора двухсекционного светодиодного TL-LED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фиксаторов открывания ворот с колодкой  фиксации открытия, проушин для замка навесного и засов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  <w:br/>
            </w:r>
            <w:r>
              <w:rPr>
                <w:sz w:val="16"/>
                <w:szCs w:val="16"/>
              </w:rPr>
              <w:t>2+2+1+1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плоских с креплением на кронштейнах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Ворота распашные Вр-2, 2400х6000 мм в составе с верхнем дополнительным ограждением и электроприводом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32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 готовый кладочный, цементно-песчаный, М150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0,1836</w:t>
              <w:br/>
            </w:r>
            <w:r>
              <w:rPr>
                <w:sz w:val="16"/>
                <w:szCs w:val="16"/>
              </w:rPr>
              <w:t>0,18*1,02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Ворота откатные Во-1, 2200х6000 мм с опорами на фланцах  составе с верхнем дополнительным ограждением и электроприводом.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  <w:br/>
            </w:r>
            <w:r>
              <w:rPr>
                <w:sz w:val="16"/>
                <w:szCs w:val="16"/>
              </w:rPr>
              <w:t>29*0,2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  <w:br/>
            </w:r>
            <w:r>
              <w:rPr>
                <w:sz w:val="16"/>
                <w:szCs w:val="16"/>
              </w:rPr>
              <w:t>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0,3468</w:t>
              <w:br/>
            </w:r>
            <w:r>
              <w:rPr>
                <w:sz w:val="16"/>
                <w:szCs w:val="16"/>
              </w:rPr>
              <w:t>0,34*1,02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5 м3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5,0141</w:t>
              <w:br/>
            </w:r>
            <w:r>
              <w:rPr>
                <w:sz w:val="16"/>
                <w:szCs w:val="16"/>
              </w:rPr>
              <w:t>4,94*1,015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0,08208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0,01559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9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0,14688</w:t>
              <w:br/>
            </w:r>
            <w:r>
              <w:rPr>
                <w:sz w:val="16"/>
                <w:szCs w:val="16"/>
              </w:rPr>
              <w:t>0,144*1,02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3 м3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1,938</w:t>
              <w:br/>
            </w:r>
            <w:r>
              <w:rPr>
                <w:sz w:val="16"/>
                <w:szCs w:val="16"/>
              </w:rPr>
              <w:t>1,9*1,02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0,05016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0,00592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0,0122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0,0714</w:t>
              <w:br/>
            </w:r>
            <w:r>
              <w:rPr>
                <w:sz w:val="16"/>
                <w:szCs w:val="16"/>
              </w:rPr>
              <w:t>0,07*1,02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3 м3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0,8262</w:t>
              <w:br/>
            </w:r>
            <w:r>
              <w:rPr>
                <w:sz w:val="16"/>
                <w:szCs w:val="16"/>
              </w:rPr>
              <w:t>0,81*1,02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0,02736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0,00301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0,00745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ворот откатных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Шпильки анкерные стальные оцинкованные для клеевых анкеров в комплекте с гайкой и шайбой, класс прочности 8.8, наружная резьба М30, длина шпильки 380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Шпильки анкерные стальные оцинкованные для клеевых анкеров в комплекте с гайкой и шайбой, класс прочности 8.8, наружная резьба М16, длина шпильки 190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клеевой двухкомпонентный инъекционный на основе эпоксидной смолы для устройства анкерных креплений, восстановления арматурных выпусков и тяжелых анкерных креплений в бетоне с возможностью установки во влажных отверстиях и под водой, температура эксплуатации от -60 °C до +80 °C, сейсмостойкость 7-9 баллов, объем 500 мл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Ворота откатные Во-1, 3500х6000 мм с опорами на фланцах  составе с верхнем дополнительным ограждением и электроприводом, цвет RAL 9006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привода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фотоэлемента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сигнальной лампы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0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Стандартные изделия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6.04.019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6.04.019G-В А4 DIN127B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М6-20 А2 ART 9121 ISO 7380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8.04.019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8.04.019G-В А4 DIN127B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М8-40 А2 ART 9121 ISO 7380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М12х90 мм DIN 933 ISO 4017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М12  DIN 127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  DIN 934 ГОСТ 5915-70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12.04.019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Предупредительное (наружное) ограждение с панелями высотой 2200 мм (ПО-2)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2,346</w:t>
              <w:br/>
            </w:r>
            <w:r>
              <w:rPr>
                <w:sz w:val="16"/>
                <w:szCs w:val="16"/>
              </w:rPr>
              <w:t>2,3*1,02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5(3)-10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0,529</w:t>
              <w:br/>
            </w:r>
            <w:r>
              <w:rPr>
                <w:sz w:val="16"/>
                <w:szCs w:val="16"/>
              </w:rPr>
              <w:t>0,46*1,15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подземной части, труба квадратного сечения 80х80 мм с фланцем 210х210х10 мм, L=1500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опор на фланцах на нижестоящие опоры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0,238</w:t>
              <w:br/>
            </w:r>
            <w:r>
              <w:rPr>
                <w:sz w:val="16"/>
                <w:szCs w:val="16"/>
              </w:rPr>
              <w:t>(14*14+14*2+14*1)/1000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85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8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(дополнительная)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для наружного угла 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заграждений из готовых металлических решетчатых панелей: высотой более 2 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</w:tr>
      <w:tr>
        <w:trPr>
          <w:trHeight w:val="40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ограждения В2200xШ3000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крепления панели ограждения ФП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спиральных с креплением на кронштейнах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СББ диаметр 600 мм, кол-во витков 50 шт./бухта, шипы 0.5 мм, диаметр сердечника 2.5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для СББ АКЛ ГАН-60Г/ГР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для крепления проволоки ФК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3,162</w:t>
              <w:br/>
            </w:r>
            <w:r>
              <w:rPr>
                <w:sz w:val="16"/>
                <w:szCs w:val="16"/>
              </w:rPr>
              <w:t>1,86*1,7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Стандартные изделия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6.04.019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6.04.019G-В А4 DIN127B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М6-20 А2 ART 9121 ISO 7380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8.04.019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8.04.019G-В А4 DIN127B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М8-40 А2 ART 9121 ISO 7380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М12х90 мм DIN 933 ISO 4017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М12  DIN 127 ГОСТ 6402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  DIN 934 ГОСТ 5915-70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12.04.019 А2 NFE 25-514 L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Бронированная наблюдательная вышка (РД, лист 12)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  <w:br/>
            </w:r>
            <w:r>
              <w:rPr>
                <w:sz w:val="16"/>
                <w:szCs w:val="16"/>
              </w:rPr>
              <w:t>16*0,2*1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5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36,72</w:t>
              <w:br/>
            </w:r>
            <w:r>
              <w:rPr>
                <w:sz w:val="16"/>
                <w:szCs w:val="16"/>
              </w:rPr>
              <w:t>21,6*1*1,7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фундаментных плит железобетонных: плоских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6,699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0,44308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0,00696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0,00752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закладных деталей весом: до 4 кг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0,06408</w:t>
              <w:br/>
            </w:r>
            <w:r>
              <w:rPr>
                <w:sz w:val="16"/>
                <w:szCs w:val="16"/>
              </w:rPr>
              <w:t>(3,77*16+0,47*8)/1000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Анкер. болт с гайк. М16/20х300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анкерные фундаментные стальные в комплекте с двумя гайками М24 и шайбами М24, тип 1, диаметр М24 (Болт 1.1 М24х900 09Г2С-6)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0,06032</w:t>
              <w:br/>
            </w:r>
            <w:r>
              <w:rPr>
                <w:sz w:val="16"/>
                <w:szCs w:val="16"/>
              </w:rPr>
              <w:t>3,77*16/1000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8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0,00964</w:t>
              <w:br/>
            </w:r>
            <w:r>
              <w:rPr>
                <w:sz w:val="16"/>
                <w:szCs w:val="16"/>
              </w:rPr>
              <w:t>9,64/1000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 для подготовки поверхности из бетона, цемента и металла перед нанесением гидроизоляционных материалов, расход 0,20-0,28 кг/м2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бронированной наблюдательной вышки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Бронированная наблюдательная вышка  (2300х2300х7500 мм) Комплектация «Стандарт»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отмостки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1,632</w:t>
              <w:br/>
            </w:r>
            <w:r>
              <w:rPr>
                <w:sz w:val="16"/>
                <w:szCs w:val="16"/>
              </w:rPr>
              <w:t>1,6*1,02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Будка постового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2,18</w:t>
              <w:br/>
            </w:r>
            <w:r>
              <w:rPr>
                <w:sz w:val="16"/>
                <w:szCs w:val="16"/>
              </w:rPr>
              <w:t>10,9*0,2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15,81</w:t>
              <w:br/>
            </w:r>
            <w:r>
              <w:rPr>
                <w:sz w:val="16"/>
                <w:szCs w:val="16"/>
              </w:rPr>
              <w:t>9,3*1,7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10,8675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0,5406</w:t>
              <w:br/>
            </w:r>
            <w:r>
              <w:rPr>
                <w:sz w:val="16"/>
                <w:szCs w:val="16"/>
              </w:rPr>
              <w:t>0,53*1,02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фундаментных плит железобетонных: плоских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0,8932</w:t>
              <w:br/>
            </w:r>
            <w:r>
              <w:rPr>
                <w:sz w:val="16"/>
                <w:szCs w:val="16"/>
              </w:rPr>
              <w:t>0,88*1,015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0,12364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бронекабин: на готовый фундамент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Будка постового 9-ТПиР-2024-ИТСЗ.ОЛ1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Мобильный смотровой  помост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8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Мобильный смотровой помост односторонний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Знаки предупредительные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указателя на стене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  <w:br/>
            </w:r>
            <w:r>
              <w:rPr>
                <w:sz w:val="16"/>
                <w:szCs w:val="16"/>
              </w:rPr>
              <w:t>2+2+3+3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зона! Проезд (проход) запрещён закрыт"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"Проезд запрещён (закрыт)"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"Внимание! Охраняемая территория"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граница"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монтажная оцинкованная KVA 25х1,0мм Dперф.=3 и 8мм L=200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стальные оцинкованные с шестигранной головкой и оцинкованной шестигранной гайкой, диаметр резьбы болта и гайки М8, длина болта 16-100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1,2744</w:t>
              <w:br/>
            </w:r>
            <w:r>
              <w:rPr>
                <w:sz w:val="16"/>
                <w:szCs w:val="16"/>
              </w:rPr>
              <w:t>(13,8*54+4*108+1,8*54)/1000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Знаки предупредительные 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указателя на стене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  <w:br/>
            </w:r>
            <w:r>
              <w:rPr>
                <w:sz w:val="16"/>
                <w:szCs w:val="16"/>
              </w:rPr>
              <w:t>8+8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"Внимание! Охраняемая территория"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граница"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монтажная оцинкованная KVA 25х1,0мм Dперф.=3 и 8мм L=200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стальные оцинкованные с шестигранной головкой и оцинкованной шестигранной гайкой, диаметр резьбы болта и гайки М8, длина болта 16-100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  <w:br/>
            </w:r>
            <w:r>
              <w:rPr>
                <w:sz w:val="16"/>
                <w:szCs w:val="16"/>
              </w:rPr>
              <w:t>(13,8*50+4*100+1,8*50)/1000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Дорожные знаки (Участок 1)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0,1232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0,2499</w:t>
              <w:br/>
            </w:r>
            <w:r>
              <w:rPr>
                <w:sz w:val="16"/>
                <w:szCs w:val="16"/>
              </w:rPr>
              <w:t>0,245*1,02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дорожных знаков бесфундаментных: на металлических стойках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ХВ-785, цветная, белый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2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Грунтовка ХС-010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0,00084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0,0500675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7*2,5*2,861/1000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диаметр круга 700 мм,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  <w:br/>
            </w:r>
            <w:r>
              <w:rPr>
                <w:sz w:val="16"/>
                <w:szCs w:val="16"/>
              </w:rPr>
              <w:t>2+1+4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из оцинкованной стали, диаметр 60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0,612</w:t>
              <w:br/>
            </w:r>
            <w:r>
              <w:rPr>
                <w:sz w:val="16"/>
                <w:szCs w:val="16"/>
              </w:rPr>
              <w:t>0,36*1,7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Дорожные знаки (Участок 2)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0,0352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В15,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0,0714</w:t>
              <w:br/>
            </w:r>
            <w:r>
              <w:rPr>
                <w:sz w:val="16"/>
                <w:szCs w:val="16"/>
              </w:rPr>
              <w:t>0,07*1,02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дорожных знаков бесфундаментных: на металлических стойках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ХВ-785, цветная, белый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Грунтовка ХС-010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0,00024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0,014305</w:t>
              <w:br/>
            </w:r>
            <w:r>
              <w:rPr>
                <w:sz w:val="16"/>
                <w:szCs w:val="16"/>
              </w:rPr>
              <w:t>2*2,5*2,861/1000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8-угольник, размеры 700 мм, тип 2.5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53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диаметр круга 700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из оцинкованной стали, диаметр 60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  <w:br/>
            </w:r>
            <w:r>
              <w:rPr>
                <w:sz w:val="16"/>
                <w:szCs w:val="16"/>
              </w:rPr>
              <w:t>0,1*1,7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Дорожная разметка (Участок 1)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Разметка проезжей части краской линий регулирования дорожного движения сложной конфигурации по трафаретам с использованием маркировочных машин ручных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для дорожной разметки автомобильных дорог, суспензия пигментов и наполнителей в акриловом сополимере с модифицирующими добавками, цвет белый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Колесоотбойники, светофоры (Участок 1)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колесоотбойников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0,35928</w:t>
              <w:br/>
            </w:r>
            <w:r>
              <w:rPr>
                <w:sz w:val="16"/>
                <w:szCs w:val="16"/>
              </w:rPr>
              <w:t>((1*23,84+2*11,92+2*6,1)/1000)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Трубы стальные электросварные прямошовные из стали марок Ст2, 10, наружный диаметр 159 мм, толщина стенки 4,5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16,68</w:t>
              <w:br/>
            </w:r>
            <w:r>
              <w:rPr>
                <w:sz w:val="16"/>
                <w:szCs w:val="16"/>
              </w:rPr>
              <w:t>(1,39+2*0,695)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 90° с радиусом кривизны R=1,5 Ду на давление до 16 МПа, номинальный диаметр 150 мм, наружный диаметр 159 мм, толщина стенки 4,5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  <w:br/>
            </w:r>
            <w:r>
              <w:rPr>
                <w:sz w:val="16"/>
                <w:szCs w:val="16"/>
              </w:rPr>
              <w:t>2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поверхности щетками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  <w:r>
              <w:rPr>
                <w:sz w:val="16"/>
                <w:szCs w:val="16"/>
              </w:rPr>
              <w:t>1,34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2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Обеспыливание поверхности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1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Обезжиривание поверхностей уайт-спиритом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Огрунтовка металлических поверхностей по подготовленной поверхности мастикой на основе синтетических смол, вручную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универсальный алкидный (белый)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  <w:br/>
            </w:r>
            <w:r>
              <w:rPr>
                <w:sz w:val="16"/>
                <w:szCs w:val="16"/>
              </w:rPr>
              <w:t>0,7*6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металлических огрунтованных поверхностей мастикой на основе синтетических смол, вручную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алкидная универсальная RAL 1018  (жёлтый цинк)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  <w:r>
              <w:rPr>
                <w:sz w:val="16"/>
                <w:szCs w:val="16"/>
              </w:rPr>
              <w:t>0,35*6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алкидная универсальная RAL 9005 (реактивный чёрный)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  <w:r>
              <w:rPr>
                <w:sz w:val="16"/>
                <w:szCs w:val="16"/>
              </w:rPr>
              <w:t>0,35*6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удерживающих металлических барьерных ограждений: дорожной группы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0,35928</w:t>
              <w:br/>
            </w:r>
            <w:r>
              <w:rPr>
                <w:sz w:val="16"/>
                <w:szCs w:val="16"/>
              </w:rPr>
              <w:t>((1*23,84+2*11,92+2*6,1)/1000)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</w:t>
              <w:br/>
            </w:r>
            <w:r>
              <w:rPr>
                <w:sz w:val="16"/>
                <w:szCs w:val="16"/>
              </w:rPr>
              <w:t>0,04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</w:t>
              <w:br/>
            </w:r>
            <w:r>
              <w:rPr>
                <w:sz w:val="16"/>
                <w:szCs w:val="16"/>
              </w:rPr>
              <w:t>0,19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на расстояние 1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2,346</w:t>
              <w:br/>
            </w:r>
            <w:r>
              <w:rPr>
                <w:sz w:val="16"/>
                <w:szCs w:val="16"/>
              </w:rPr>
              <w:t>1,38*1,7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Светофоры</w:t>
            </w:r>
          </w:p>
        </w:tc>
      </w:tr>
      <w:tr>
        <w:trPr>
          <w:trHeight w:val="39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светофорных колонок в комплекте с основанием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Светофорная колонка транспортная СКТР -5,0-1,5 (02)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Тропа наряда - 360 м2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185,24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20,47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349,707</w:t>
              <w:br/>
            </w:r>
            <w:r>
              <w:rPr>
                <w:sz w:val="16"/>
                <w:szCs w:val="16"/>
              </w:rPr>
              <w:t>205,71*1,7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  <w:br/>
            </w:r>
            <w:r>
              <w:rPr>
                <w:sz w:val="16"/>
                <w:szCs w:val="16"/>
              </w:rPr>
              <w:t>360*0,2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Геополотно нетканое для дорожного строительства, иглопробивное, термоскрепленное, поверхностная плотность 300 г/м2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  <w:br/>
            </w:r>
            <w:r>
              <w:rPr>
                <w:sz w:val="16"/>
                <w:szCs w:val="16"/>
              </w:rPr>
              <w:t>360*1,1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  <w:br/>
            </w:r>
            <w:r>
              <w:rPr>
                <w:sz w:val="16"/>
                <w:szCs w:val="16"/>
              </w:rPr>
              <w:t>0,27*360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106,92</w:t>
              <w:br/>
            </w:r>
            <w:r>
              <w:rPr>
                <w:sz w:val="16"/>
                <w:szCs w:val="16"/>
              </w:rPr>
              <w:t>97,2*1,1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В10,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22,44</w:t>
              <w:br/>
            </w:r>
            <w:r>
              <w:rPr>
                <w:sz w:val="16"/>
                <w:szCs w:val="16"/>
              </w:rPr>
              <w:t>22*1,02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 бортовые бетонные марки БР, БВ, бетон В22,5 (М300)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115,2</w:t>
              <w:br/>
            </w:r>
            <w:r>
              <w:rPr>
                <w:sz w:val="16"/>
                <w:szCs w:val="16"/>
              </w:rPr>
              <w:t>0,16*720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  <w:br/>
            </w:r>
            <w:r>
              <w:rPr>
                <w:sz w:val="16"/>
                <w:szCs w:val="16"/>
              </w:rPr>
              <w:t>0,17*360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400, фракция 20-40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77,112</w:t>
              <w:br/>
            </w:r>
            <w:r>
              <w:rPr>
                <w:sz w:val="16"/>
                <w:szCs w:val="16"/>
              </w:rPr>
              <w:t>61,2*1,26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бетонных плитных тротуаров с заполнением швов: песком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сухие цементно-песчаные кладочные, класс В12,5 (М150), крупность заполнителя до 5 мм, расход 1,8-2,0 кг/м2 при толщине слоя 1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Плиты бетонные и цементно-песчаные для тротуаров, полов и облицовки, толщина 60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Тропа наряда - 540 м2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грунта вручную в траншеях глубиной до </w:t>
            </w:r>
            <w:bookmarkStart w:id="113" w:name="Приложение_2"/>
            <w:bookmarkEnd w:id="113"/>
            <w:r>
              <w:rPr>
                <w:sz w:val="24"/>
                <w:szCs w:val="24"/>
              </w:rPr>
              <w:t>2 м без креплений с откосами,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525,3</w:t>
              <w:br/>
            </w:r>
            <w:r>
              <w:rPr>
                <w:sz w:val="16"/>
                <w:szCs w:val="16"/>
              </w:rPr>
              <w:t>309*1,7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143,6</w:t>
              <w:br/>
            </w:r>
            <w:r>
              <w:rPr>
                <w:sz w:val="16"/>
                <w:szCs w:val="16"/>
              </w:rPr>
              <w:t>718*0,2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Геополотно нетканое для дорожного строительства, иглопробивное, термоскрепленное, плотность 300 г/м2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  <w:br/>
            </w:r>
            <w:r>
              <w:rPr>
                <w:sz w:val="16"/>
                <w:szCs w:val="16"/>
              </w:rPr>
              <w:t>540*1,1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  <w:br/>
            </w:r>
            <w:r>
              <w:rPr>
                <w:sz w:val="16"/>
                <w:szCs w:val="16"/>
              </w:rPr>
              <w:t>0,27*540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160,6</w:t>
              <w:br/>
            </w:r>
            <w:r>
              <w:rPr>
                <w:sz w:val="16"/>
                <w:szCs w:val="16"/>
              </w:rPr>
              <w:t>146*1,1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В10, F(1)100, W4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32,64</w:t>
              <w:br/>
            </w:r>
            <w:r>
              <w:rPr>
                <w:sz w:val="16"/>
                <w:szCs w:val="16"/>
              </w:rPr>
              <w:t>32*1,02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 бортовые бетонные марки БР, БВ, бетон В22,5 (М300)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172,8</w:t>
              <w:br/>
            </w:r>
            <w:r>
              <w:rPr>
                <w:sz w:val="16"/>
                <w:szCs w:val="16"/>
              </w:rPr>
              <w:t>0,16*1080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91,8</w:t>
              <w:br/>
            </w:r>
            <w:r>
              <w:rPr>
                <w:sz w:val="16"/>
                <w:szCs w:val="16"/>
              </w:rPr>
              <w:t>0,17*540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400, фракция 20-40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115,668</w:t>
              <w:br/>
            </w:r>
            <w:r>
              <w:rPr>
                <w:sz w:val="16"/>
                <w:szCs w:val="16"/>
              </w:rPr>
              <w:t>91,8*1,26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бетонных плитных тротуаров с заполнением швов: песком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сухие цементно-песчаные кладочные, класс В12,5 (М150), крупность заполнителя до 5 мм, расход 1,8-2,0 кг/м2 при толщине слоя 1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Плиты бетонные и цементно-песчаные для тротуаров, полов и облицовки, толщина 60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буронабивных свай БНС1 под фунд. плиту ФПм2 наблюдательной вышки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арматурных пространственных каркасов в построечных условиях, диаметром: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0,12956</w:t>
              <w:br/>
            </w:r>
            <w:r>
              <w:rPr>
                <w:sz w:val="16"/>
                <w:szCs w:val="16"/>
              </w:rPr>
              <w:t>((26.5+4.32+0.64+0,93)/1000)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0,106</w:t>
              <w:br/>
            </w:r>
            <w:r>
              <w:rPr>
                <w:sz w:val="16"/>
                <w:szCs w:val="16"/>
              </w:rPr>
              <w:t>(26.5/1000)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0,01728</w:t>
              <w:br/>
            </w:r>
            <w:r>
              <w:rPr>
                <w:sz w:val="16"/>
                <w:szCs w:val="16"/>
              </w:rPr>
              <w:t>(4.32/1000)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 (6-А240)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0,00256</w:t>
              <w:br/>
            </w:r>
            <w:r>
              <w:rPr>
                <w:sz w:val="16"/>
                <w:szCs w:val="16"/>
              </w:rPr>
              <w:t>(0.64/1000)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стальной горячекатаный полосовой, марки стали Ст3сп, Ст3пс, размеры 140х6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0,00372</w:t>
              <w:br/>
            </w:r>
            <w:r>
              <w:rPr>
                <w:sz w:val="16"/>
                <w:szCs w:val="16"/>
              </w:rPr>
              <w:t>(0,93/1000)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буронабивных свай с бурением скважин вращательным (шнековым) способом в грунтах: 1 группы диаметром до 600 мм, длина свай до 12 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  <w:r>
              <w:rPr>
                <w:sz w:val="16"/>
                <w:szCs w:val="16"/>
              </w:rPr>
              <w:t>0,45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  <w:r>
              <w:rPr>
                <w:sz w:val="16"/>
                <w:szCs w:val="16"/>
              </w:rPr>
              <w:t>0,45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Долото трехшарошечное III 132 К-ЦВ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0,0405</w:t>
              <w:br/>
            </w:r>
            <w:r>
              <w:rPr>
                <w:sz w:val="16"/>
                <w:szCs w:val="16"/>
              </w:rPr>
              <w:t>(0,25*4,05/100)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Щиты настила, толщина 40 мм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(глинопорошок) бентонитовый для приготовления буровых растворов, выход раствора 20,0-23,0 м3/т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0,1134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  <w:br/>
            </w:r>
            <w:r>
              <w:rPr>
                <w:sz w:val="16"/>
                <w:szCs w:val="16"/>
              </w:rPr>
              <w:t>1.8*1,7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8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Условия выполнения работ: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1) 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безопасности.</w:t>
              <w:br/>
              <w:t>2)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        <w:br/>
              <w:t>разветвленная сеть транспортных и инженерных коммуникаций;</w:t>
              <w:br/>
              <w:t>стесненные условия для складирования материалов;</w:t>
              <w:br/>
              <w:t>действующее технологическое оборудование;</w:t>
              <w:br/>
              <w:t>движение технологического транспорта.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71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81" w:charSpace="0"/>
        </w:sectPr>
      </w:pPr>
      <w:r>
        <w:br w:type="page"/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bookmarkStart w:id="114" w:name="Приложение_№2"/>
      <w:r>
        <w:rPr/>
        <w:t>Приложение №2</w:t>
      </w:r>
      <w:bookmarkEnd w:id="114"/>
    </w:p>
    <w:p>
      <w:pPr>
        <w:pStyle w:val="Heading1"/>
        <w:tabs>
          <w:tab w:val="clear" w:pos="0"/>
        </w:tabs>
        <w:ind w:left="0" w:hanging="0"/>
        <w:jc w:val="center"/>
        <w:rPr>
          <w:sz w:val="36"/>
          <w:szCs w:val="36"/>
        </w:rPr>
      </w:pPr>
      <w:bookmarkStart w:id="115" w:name="__RefHeading___Toc47697_2939175109"/>
      <w:bookmarkStart w:id="116" w:name="_Hlk125115837"/>
      <w:bookmarkStart w:id="117" w:name="_Toc125123786"/>
      <w:bookmarkStart w:id="118" w:name="_Toc54451385"/>
      <w:bookmarkEnd w:id="115"/>
      <w:r>
        <w:rPr/>
        <w:t>Требования к оформлению и составлению документации по ценообразованию</w:t>
      </w:r>
      <w:bookmarkEnd w:id="116"/>
      <w:bookmarkEnd w:id="117"/>
      <w:bookmarkEnd w:id="118"/>
    </w:p>
    <w:p>
      <w:pPr>
        <w:pStyle w:val="Normal"/>
        <w:keepNext w:val="true"/>
        <w:keepLines/>
        <w:spacing w:before="0" w:after="1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right="0" w:hanging="1080"/>
        <w:jc w:val="center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Требования к оформлению и составлению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center"/>
        <w:rPr/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>сметной документации на работы по программе реконструкции и техническому перевооружению.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center"/>
        <w:rPr>
          <w:rFonts w:ascii="Times New Roman" w:hAnsi="Times New Roman" w:cs="Times New Roman"/>
          <w:b/>
        </w:rPr>
      </w:pPr>
      <w:r>
        <w:rPr>
          <w:rFonts w:cs="Times New Roman"/>
          <w:b/>
        </w:rPr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/>
          <w:b/>
          <w:u w:val="single"/>
        </w:rPr>
        <w:t>не допускается</w:t>
      </w:r>
      <w:r>
        <w:rPr>
          <w:rFonts w:cs="Times New Roman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Версия программного комплекса «Гранд-Смета» (далее–ПК «Гранд-смета») должна быть не ниже 2024.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421/пр., в редакции приказов Минстроя России от 07.07.2022 года № 557/пр, от 30.01.2024 года № 55/пр (далее – Методика 421).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составлении сметной документации необходимо использовать актуальную сметно-нормативную базу.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9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Определение сметной стоимости работ выполняется</w:t>
      </w:r>
      <w:r>
        <w:rPr>
          <w:rFonts w:cs="Times New Roman"/>
          <w:b/>
        </w:rPr>
        <w:t xml:space="preserve"> ресурсно-индексным методом </w:t>
      </w:r>
      <w:r>
        <w:rPr>
          <w:rFonts w:cs="Times New Roman"/>
        </w:rPr>
        <w:t xml:space="preserve"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</w:t>
      </w:r>
      <w:r>
        <w:rPr>
          <w:rFonts w:cs="Times New Roman"/>
          <w:b/>
        </w:rPr>
        <w:t>текущем уровне цен</w:t>
      </w:r>
      <w:r>
        <w:rPr>
          <w:rFonts w:cs="Times New Roman"/>
        </w:rPr>
        <w:t xml:space="preserve">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определении сметной стоимости ресурсно-индексным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Для ресурсно-индексного метода: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 сметных расчетах на этап работ допускается использовать индексы прогнозной инфляции Минэкономразвития России (ИПЦ базовый, по строке - Показатели инфляции / в среднем за год).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 xml:space="preserve">В случае </w:t>
      </w:r>
      <w:r>
        <w:rPr>
          <w:rFonts w:cs="Times New Roman"/>
          <w:i/>
        </w:rPr>
        <w:t>отсутствия</w:t>
      </w:r>
      <w:r>
        <w:rPr>
          <w:rFonts w:cs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bookmarkStart w:id="119" w:name="_Hlk86254526"/>
      <w:r>
        <w:rPr>
          <w:rFonts w:cs="Times New Roman"/>
        </w:rPr>
        <w:t xml:space="preserve">При </w:t>
      </w:r>
      <w:r>
        <w:rPr>
          <w:rFonts w:cs="Times New Roman"/>
          <w:i/>
        </w:rPr>
        <w:t>отсутствии</w:t>
      </w:r>
      <w:r>
        <w:rPr>
          <w:rFonts w:cs="Times New Roman"/>
        </w:rPr>
        <w:t xml:space="preserve"> информации о сметных ценах в ФГИС ЦС и ФССЦ по материальным ресурсам и оборудованию, их сметная цена формируется </w:t>
      </w:r>
      <w:bookmarkStart w:id="120" w:name="_Hlk86254576"/>
      <w:r>
        <w:rPr>
          <w:rFonts w:cs="Times New Roman"/>
        </w:rPr>
        <w:t xml:space="preserve">методом коньюнктурного анализа </w:t>
      </w:r>
      <w:bookmarkEnd w:id="120"/>
      <w:r>
        <w:rPr>
          <w:rFonts w:cs="Times New Roman"/>
        </w:rPr>
        <w:t xml:space="preserve">в соответствии с Методикой 421. </w:t>
      </w:r>
      <w:bookmarkEnd w:id="119"/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Транспортные затраты определяются следующими методами:</w:t>
      </w:r>
    </w:p>
    <w:p>
      <w:pPr>
        <w:pStyle w:val="Normal"/>
        <w:numPr>
          <w:ilvl w:val="0"/>
        </w:numPr>
        <w:tabs>
          <w:tab w:val="clear" w:pos="708"/>
          <w:tab w:val="left" w:pos="1134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14.1. </w:t>
      </w:r>
      <w:r>
        <w:rPr>
          <w:rFonts w:cs="Times New Roman"/>
          <w:b/>
        </w:rPr>
        <w:t>по доставке материальных ресурсов</w:t>
      </w:r>
      <w:r>
        <w:rPr>
          <w:rFonts w:cs="Times New Roman"/>
        </w:rPr>
        <w:t xml:space="preserve">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методом коньюнктурного анализа в соответствии с Методикой 421;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1134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14.2.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</w:rPr>
        <w:t>по доставке оборудования</w:t>
      </w:r>
      <w:r>
        <w:rPr>
          <w:rFonts w:cs="Times New Roman"/>
        </w:rPr>
        <w:t>: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методом коньюнктурного анализа в соответствии с Методикой 421;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2% - для материальных ресурсов (кроме металлоконструкций);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0,75% - для металлоконструкций;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1,2% - для оборудования.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         </w:t>
      </w:r>
      <w:r>
        <w:rPr>
          <w:rFonts w:cs="Times New Roman"/>
          <w:color w:val="000000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  <w:color w:val="000000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/>
          <w:color w:val="000000"/>
        </w:rPr>
        <w:t xml:space="preserve">применении коэффициентов результирующее значение коэффициента определяется, согласно пп. 51, 52 Методики 421.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/>
          <w:lang w:val="en-US"/>
        </w:rPr>
        <w:t>VII</w:t>
      </w:r>
      <w:r>
        <w:rPr>
          <w:rFonts w:cs="Times New Roman"/>
        </w:rPr>
        <w:t xml:space="preserve"> Методики 421: 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/>
          <w:color w:val="000000"/>
        </w:rPr>
        <w:t>с Приложением №3 к настоящим требованиям и включаются в ССРСС.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Данные работы оформляются отдельными локальными сметами в соответствии </w:t>
      </w:r>
      <w:r>
        <w:rPr>
          <w:rFonts w:cs="Times New Roman"/>
          <w:color w:val="000000"/>
        </w:rPr>
        <w:t xml:space="preserve">с Приложением </w:t>
      </w:r>
      <w:r>
        <w:rPr>
          <w:rFonts w:cs="Times New Roman"/>
        </w:rPr>
        <w:t>№ 2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val="000000"/>
        </w:rPr>
        <w:t xml:space="preserve">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 и включаются в ССР.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При необходимости учета командировочных расходов в сметной документации составляется расчет (прил.№3 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перевооружению).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Normal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проживание – 500 руб./сутки;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b/>
          <w:i/>
          <w:i/>
          <w:color w:val="000000"/>
        </w:rPr>
      </w:pPr>
      <w:r>
        <w:rPr>
          <w:rFonts w:cs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lineRule="auto" w:line="240" w:before="40" w:after="40"/>
        <w:ind w:left="1211" w:right="0" w:hanging="0"/>
        <w:jc w:val="both"/>
        <w:rPr>
          <w:rFonts w:ascii="Times New Roman" w:hAnsi="Times New Roman" w:cs="Times New Roman"/>
          <w:b/>
          <w:i/>
          <w:i/>
          <w:color w:val="000000"/>
        </w:rPr>
      </w:pPr>
      <w:r>
        <w:rPr>
          <w:rFonts w:cs="Times New Roman"/>
          <w:b/>
          <w:i/>
          <w:color w:val="000000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bookmarkStart w:id="121" w:name="_Ref19086149"/>
      <w:bookmarkEnd w:id="121"/>
      <w:r>
        <w:rPr>
          <w:rFonts w:cs="Times New Roman"/>
        </w:rPr>
        <w:t xml:space="preserve">В локальных сметных расчетах построчные и итоговые суммы </w:t>
      </w:r>
      <w:r>
        <w:rPr>
          <w:rFonts w:cs="Times New Roman"/>
          <w:b/>
          <w:u w:val="single"/>
        </w:rPr>
        <w:t>округлять: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bookmarkStart w:id="122" w:name="_Ref19086149_Копия_1"/>
      <w:bookmarkEnd w:id="122"/>
      <w:r>
        <w:rPr>
          <w:rFonts w:cs="Times New Roman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/>
          <w:b/>
        </w:rPr>
        <w:t>в рублях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до целых единиц</w:t>
      </w:r>
      <w:r>
        <w:rPr>
          <w:rFonts w:cs="Times New Roman"/>
        </w:rPr>
        <w:t>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/>
          <w:b/>
        </w:rPr>
        <w:t>рублях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до двух знаков</w:t>
      </w:r>
      <w:r>
        <w:rPr>
          <w:rFonts w:cs="Times New Roman"/>
        </w:rPr>
        <w:t xml:space="preserve"> после запятой. Величину НДС не указывать.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Выходные формы сметных расчетов должны соответствовать Образцам по приложению 2 </w:t>
      </w:r>
      <w:r>
        <w:rPr>
          <w:rFonts w:cs="Times New Roman"/>
          <w:color w:val="000000"/>
        </w:rPr>
        <w:t>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</w:t>
      </w:r>
      <w:r>
        <w:rPr>
          <w:rFonts w:cs="Times New Roman"/>
        </w:rPr>
        <w:t xml:space="preserve">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случае предоставления Заказчиком услуг, указанных в Технических требованиях, договоре:</w:t>
      </w:r>
    </w:p>
    <w:p>
      <w:pPr>
        <w:pStyle w:val="Normal"/>
        <w:numPr>
          <w:ilvl w:val="0"/>
        </w:numPr>
        <w:tabs>
          <w:tab w:val="clear" w:pos="708"/>
          <w:tab w:val="left" w:pos="993" w:leader="none"/>
        </w:tabs>
        <w:spacing w:lineRule="auto" w:line="240" w:before="40" w:after="40"/>
        <w:ind w:left="1272" w:right="0" w:hanging="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Normal"/>
        <w:numPr>
          <w:ilvl w:val="1"/>
          <w:numId w:val="14"/>
        </w:numPr>
        <w:tabs>
          <w:tab w:val="clear" w:pos="708"/>
          <w:tab w:val="left" w:pos="993" w:leader="none"/>
          <w:tab w:val="left" w:pos="1844" w:leader="none"/>
        </w:tabs>
        <w:spacing w:lineRule="auto" w:line="240" w:before="40" w:after="40"/>
        <w:ind w:left="1844" w:right="0" w:hanging="567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По предоставляемой электроэнергии (в том числе, в составе стоимости машино-часа):</w:t>
      </w:r>
    </w:p>
    <w:p>
      <w:pPr>
        <w:pStyle w:val="Normal"/>
        <w:numPr>
          <w:ilvl w:val="0"/>
          <w:numId w:val="21"/>
        </w:numPr>
        <w:spacing w:lineRule="auto" w:line="240" w:before="40" w:after="4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 исключать стоимость электроэнергии.</w:t>
      </w:r>
    </w:p>
    <w:p>
      <w:pPr>
        <w:pStyle w:val="Normal"/>
        <w:numPr>
          <w:ilvl w:val="1"/>
          <w:numId w:val="14"/>
        </w:numPr>
        <w:tabs>
          <w:tab w:val="clear" w:pos="708"/>
          <w:tab w:val="left" w:pos="993" w:leader="none"/>
          <w:tab w:val="left" w:pos="1844" w:leader="none"/>
        </w:tabs>
        <w:spacing w:lineRule="auto" w:line="240" w:before="40" w:after="40"/>
        <w:ind w:left="1844" w:right="0" w:hanging="567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По предоставляемой воде: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40" w:after="4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 исключать стоимость воды.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(субподрядчика),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ССРСС выполнять по Образцу Приложения № 1.1 к </w:t>
      </w:r>
      <w:r>
        <w:rPr>
          <w:rFonts w:cs="Times New Roman"/>
          <w:color w:val="000000"/>
        </w:rPr>
        <w:t>Требованиям к 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по образцу</w:t>
      </w:r>
      <w:r>
        <w:rPr>
          <w:rFonts w:cs="Times New Roman"/>
        </w:rPr>
        <w:t>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Сметная документация должна быть представлена в двух вариантах: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 бумажном носителе (количество указано в конкурсной документации).  Образец ЛСР в соответствии с приложением № 2 к Требованиям к оформлению и составлению сметной документации на работы по программе реконструкции и техническому перевооружению;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 электронном носителе (в форматах «</w:t>
      </w:r>
      <w:r>
        <w:rPr>
          <w:rFonts w:cs="Times New Roman"/>
          <w:lang w:val="en-US"/>
        </w:rPr>
        <w:t>xml</w:t>
      </w:r>
      <w:r>
        <w:rPr>
          <w:rFonts w:cs="Times New Roman"/>
        </w:rPr>
        <w:t>»,</w:t>
      </w:r>
      <w:r>
        <w:rPr>
          <w:rFonts w:cs="Times New Roman"/>
          <w:color w:val="2E74B5"/>
        </w:rPr>
        <w:t xml:space="preserve"> </w:t>
      </w:r>
      <w:r>
        <w:rPr>
          <w:rFonts w:cs="Times New Roman"/>
        </w:rPr>
        <w:t>ПК «Гранд-Смета», «Excel», «</w:t>
      </w:r>
      <w:r>
        <w:rPr>
          <w:rFonts w:cs="Times New Roman"/>
          <w:lang w:val="en-US"/>
        </w:rPr>
        <w:t>pdf</w:t>
      </w:r>
      <w:r>
        <w:rPr>
          <w:rFonts w:cs="Times New Roman"/>
        </w:rPr>
        <w:t>»), полностью соответствующему бумажному варианту. Сметная документация в формате «Exce</w:t>
      </w:r>
      <w:r>
        <w:rPr>
          <w:rFonts w:cs="Times New Roman"/>
          <w:lang w:val="en-US"/>
        </w:rPr>
        <w:t>l</w:t>
      </w:r>
      <w:r>
        <w:rPr>
          <w:rFonts w:cs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</w:rPr>
        <w:t xml:space="preserve">в формате ПК «Гранд-смета» выходная форма для печати указана ниже: </w:t>
      </w:r>
    </w:p>
    <w:p>
      <w:pPr>
        <w:pStyle w:val="Normal"/>
        <w:numPr>
          <w:ilvl w:val="0"/>
        </w:numPr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/>
        <w:drawing>
          <wp:inline distT="0" distB="0" distL="0" distR="0">
            <wp:extent cx="5980430" cy="3364230"/>
            <wp:effectExtent l="0" t="0" r="0" b="0"/>
            <wp:docPr id="3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0" t="-17" r="-10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spacing w:lineRule="auto" w:line="240" w:before="0" w:after="0"/>
        <w:ind w:left="5812" w:right="0" w:hanging="0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color w:val="000000"/>
          <w:sz w:val="20"/>
          <w:szCs w:val="20"/>
        </w:rPr>
        <w:t xml:space="preserve">Приложение №1 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>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/>
          <w:color w:val="000000"/>
        </w:rPr>
        <w:t>№ 1.1 к Требованиям к оформлению и составлению сводного сметного расчёта к договорам  на реконструкцию, техническое перевооружение и дополнительным соглашениям к указанным договорам по образцу.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/>
          <w:color w:val="000000"/>
        </w:rPr>
        <w:t>ЛСР (</w:t>
      </w:r>
      <w:r>
        <w:rPr>
          <w:rFonts w:cs="Times New Roman"/>
          <w:color w:val="000000"/>
          <w:szCs w:val="20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/>
          <w:color w:val="000000"/>
        </w:rPr>
        <w:t xml:space="preserve">№ 1.2 к Требованиям к 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договорам. 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/>
          <w:color w:val="000000"/>
        </w:rPr>
        <w:t xml:space="preserve">к Требованиям </w:t>
      </w:r>
      <w:r>
        <w:rPr>
          <w:rFonts w:cs="Times New Roman"/>
          <w:color w:val="000000"/>
          <w:szCs w:val="20"/>
        </w:rPr>
        <w:t xml:space="preserve">к оформлению и составлению </w:t>
      </w:r>
      <w:r>
        <w:rPr>
          <w:rFonts w:cs="Times New Roman"/>
          <w:color w:val="000000"/>
        </w:rPr>
        <w:t xml:space="preserve">сводного сметного расчёта к договорам на реконструкцию, техническое перевооружение и дополнительным соглашениям к указанным договорам. 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sectPr>
          <w:headerReference w:type="default" r:id="rId10"/>
          <w:headerReference w:type="first" r:id="rId11"/>
          <w:type w:val="nextPage"/>
          <w:pgSz w:w="11906" w:h="16838"/>
          <w:pgMar w:left="1276" w:right="707" w:gutter="0" w:header="709" w:top="766" w:footer="0" w:bottom="426"/>
          <w:pgNumType w:fmt="decimal"/>
          <w:formProt w:val="false"/>
          <w:textDirection w:val="lrTb"/>
          <w:docGrid w:type="default" w:linePitch="360" w:charSpace="0"/>
        </w:sect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Cs w:val="20"/>
        </w:rPr>
        <w:t xml:space="preserve">В ССРСС, построчные и итоговые суммы </w:t>
      </w:r>
      <w:r>
        <w:rPr>
          <w:rFonts w:cs="Times New Roman"/>
          <w:color w:val="000000"/>
        </w:rPr>
        <w:t xml:space="preserve">указывать </w:t>
      </w:r>
      <w:r>
        <w:rPr>
          <w:rFonts w:cs="Times New Roman"/>
          <w:color w:val="000000"/>
          <w:szCs w:val="20"/>
        </w:rPr>
        <w:t>в рублях с округлением до двух знаков после запятой. Величину НДС не указывать.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7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>Приложение № 1.1</w:t>
      </w:r>
    </w:p>
    <w:p>
      <w:pPr>
        <w:pStyle w:val="Normal"/>
        <w:widowControl w:val="false"/>
        <w:spacing w:lineRule="auto" w:line="240" w:before="0" w:after="0"/>
        <w:ind w:left="57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 xml:space="preserve">ОБРАЗЕЦ </w:t>
      </w:r>
      <w:r>
        <w:rPr>
          <w:rFonts w:cs="Times New Roman"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cs="Times New Roman"/>
          <w:sz w:val="20"/>
          <w:szCs w:val="20"/>
          <w:lang w:val="en-US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283" w:right="0" w:hanging="0"/>
              <w:rPr/>
            </w:pPr>
            <w:r>
              <w:rPr>
                <w:rFonts w:cs="Times New Roman"/>
                <w:b/>
                <w:sz w:val="20"/>
                <w:szCs w:val="20"/>
              </w:rPr>
              <w:t>СОГЛАСОВАНО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-909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______________(Подрядчик 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_______________(ФИО)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42" w:right="0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Заказчик:______________________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-3855" w:firstLine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-909" w:hanging="0"/>
              <w:rPr/>
            </w:pPr>
            <w:r>
              <w:rPr>
                <w:rFonts w:cs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cs="Times New Roman"/>
                <w:b/>
                <w:szCs w:val="20"/>
              </w:rPr>
              <w:t xml:space="preserve">                             </w:t>
            </w:r>
            <w:r>
              <w:rPr>
                <w:rFonts w:cs="Times New Roman"/>
                <w:szCs w:val="20"/>
              </w:rPr>
              <w:t>_____________(Заказчик )</w:t>
            </w:r>
          </w:p>
          <w:p>
            <w:pPr>
              <w:pStyle w:val="Normal"/>
              <w:widowControl w:val="false"/>
              <w:spacing w:lineRule="auto" w:line="240" w:before="0" w:after="0"/>
              <w:ind w:left="2551" w:right="0" w:firstLine="720"/>
              <w:jc w:val="center"/>
              <w:rPr/>
            </w:pPr>
            <w:r>
              <w:rPr>
                <w:rFonts w:cs="Times New Roman"/>
                <w:szCs w:val="20"/>
              </w:rPr>
              <w:t xml:space="preserve">                  </w:t>
            </w:r>
            <w:r>
              <w:rPr>
                <w:rFonts w:cs="Times New Roman"/>
                <w:szCs w:val="20"/>
              </w:rPr>
              <w:t>______________(</w:t>
            </w:r>
            <w:r>
              <w:rPr>
                <w:rFonts w:cs="Times New Roman"/>
                <w:sz w:val="20"/>
                <w:szCs w:val="20"/>
              </w:rPr>
              <w:t>ФИО)</w:t>
            </w:r>
          </w:p>
        </w:tc>
      </w:tr>
      <w:tr>
        <w:trPr/>
        <w:tc>
          <w:tcPr>
            <w:tcW w:w="34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Утвержден: __ ______________202__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 ССРСС-________</w:t>
            </w:r>
          </w:p>
        </w:tc>
      </w:tr>
      <w:tr>
        <w:trPr>
          <w:trHeight w:val="23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7"/>
        <w:gridCol w:w="1558"/>
        <w:gridCol w:w="1425"/>
        <w:gridCol w:w="1549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spacing w:lineRule="auto" w:line="240" w:before="0" w:after="0"/>
              <w:ind w:left="170" w:right="0" w:hanging="425"/>
              <w:rPr/>
            </w:pPr>
            <w:r>
              <w:rPr>
                <w:rFonts w:cs="Times New Roman"/>
                <w:sz w:val="18"/>
                <w:szCs w:val="18"/>
              </w:rPr>
              <w:t xml:space="preserve">     </w:t>
            </w:r>
            <w:r>
              <w:rPr>
                <w:rFonts w:cs="Times New Roman"/>
                <w:sz w:val="18"/>
                <w:szCs w:val="18"/>
              </w:rPr>
              <w:t>Руководитель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ind w:left="170" w:right="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907" w:right="0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284" w:right="0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5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>ОБРАЗЕЦ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 xml:space="preserve"> </w:t>
      </w:r>
      <w:r>
        <w:rPr>
          <w:rFonts w:cs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6804" w:leader="none"/>
        </w:tabs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</w:t>
      </w: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tabs>
          <w:tab w:val="clear" w:pos="708"/>
          <w:tab w:val="left" w:pos="6946" w:leader="none"/>
        </w:tabs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</w:t>
      </w: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Calibri" w:cs="Calibri"/>
        </w:rPr>
        <w:t xml:space="preserve">                                                                                                                             </w:t>
      </w:r>
      <w:r>
        <w:rPr/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23"/>
        <w:gridCol w:w="9691"/>
      </w:tblGrid>
      <w:tr>
        <w:trPr/>
        <w:tc>
          <w:tcPr>
            <w:tcW w:w="122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cs="Times New Roman"/>
                <w:sz w:val="20"/>
                <w:szCs w:val="20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22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691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Утвержден __ 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(ссылка на документ об утверждении)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7"/>
        <w:gridCol w:w="990"/>
        <w:gridCol w:w="293"/>
        <w:gridCol w:w="1636"/>
        <w:gridCol w:w="56"/>
        <w:gridCol w:w="1700"/>
        <w:gridCol w:w="15"/>
        <w:gridCol w:w="1263"/>
        <w:gridCol w:w="1425"/>
        <w:gridCol w:w="1135"/>
        <w:gridCol w:w="1764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/>
                <w:i/>
                <w:sz w:val="18"/>
                <w:szCs w:val="18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091" w:leader="none"/>
              </w:tabs>
              <w:spacing w:lineRule="auto" w:line="240" w:before="0" w:after="0"/>
              <w:ind w:left="425" w:right="0" w:hanging="425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sz w:val="20"/>
                <w:szCs w:val="20"/>
              </w:rPr>
              <w:t>Руководитель</w:t>
            </w:r>
          </w:p>
          <w:p>
            <w:pPr>
              <w:pStyle w:val="Normal"/>
              <w:widowControl w:val="false"/>
              <w:spacing w:lineRule="auto" w:line="240" w:before="0" w:after="0"/>
              <w:ind w:left="425" w:right="0" w:hanging="425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sz w:val="20"/>
                <w:szCs w:val="20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right="0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</w:p>
        </w:tc>
        <w:tc>
          <w:tcPr>
            <w:tcW w:w="1692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1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1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1715" w:type="dxa"/>
            <w:gridSpan w:val="2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right="0" w:hanging="141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4"/>
          <w:type w:val="nextPage"/>
          <w:pgSz w:w="11906" w:h="16838"/>
          <w:pgMar w:left="426" w:right="567" w:gutter="0" w:header="0" w:top="57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426" w:right="0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 xml:space="preserve"> </w:t>
      </w:r>
      <w:r>
        <w:rPr>
          <w:rFonts w:cs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</w:t>
      </w:r>
      <w:r>
        <w:rPr>
          <w:rFonts w:cs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4"/>
        <w:gridCol w:w="850"/>
        <w:gridCol w:w="851"/>
        <w:gridCol w:w="1276"/>
        <w:gridCol w:w="1276"/>
        <w:gridCol w:w="1701"/>
        <w:gridCol w:w="1708"/>
        <w:gridCol w:w="2118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ind w:left="357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57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right="0" w:hanging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№№ </w:t>
            </w:r>
            <w:r>
              <w:rPr>
                <w:rFonts w:cs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right="0" w:hanging="14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                                    </w:t>
      </w:r>
      <w:r>
        <w:rPr>
          <w:rFonts w:cs="Times New Roman"/>
          <w:color w:val="000000"/>
          <w:sz w:val="20"/>
          <w:szCs w:val="20"/>
        </w:rPr>
        <w:t>Приложение№2</w:t>
      </w:r>
      <w:r>
        <w:rPr>
          <w:rFonts w:cs="Times New Roman"/>
          <w:color w:val="000000"/>
          <w:sz w:val="20"/>
        </w:rPr>
        <w:t xml:space="preserve"> 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ind w:left="5811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879"/>
        <w:gridCol w:w="461"/>
        <w:gridCol w:w="1876"/>
        <w:gridCol w:w="566"/>
        <w:gridCol w:w="733"/>
        <w:gridCol w:w="443"/>
        <w:gridCol w:w="694"/>
        <w:gridCol w:w="722"/>
        <w:gridCol w:w="443"/>
        <w:gridCol w:w="695"/>
        <w:gridCol w:w="338"/>
        <w:gridCol w:w="458"/>
        <w:gridCol w:w="1494"/>
      </w:tblGrid>
      <w:tr>
        <w:trPr>
          <w:trHeight w:val="285" w:hRule="atLeast"/>
        </w:trPr>
        <w:tc>
          <w:tcPr>
            <w:tcW w:w="209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985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atLeast"/>
        </w:trPr>
        <w:tc>
          <w:tcPr>
            <w:tcW w:w="3969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428" w:type="dxa"/>
            <w:gridSpan w:val="5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75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163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461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209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8462" w:type="dxa"/>
            <w:gridSpan w:val="11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209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73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6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555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atLeast"/>
        </w:trPr>
        <w:tc>
          <w:tcPr>
            <w:tcW w:w="10555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555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0555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6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555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0555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87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177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4515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15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209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63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0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7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4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97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atLeast"/>
        </w:trPr>
        <w:tc>
          <w:tcPr>
            <w:tcW w:w="753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8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46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87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566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4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3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5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9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№</w:t>
            </w: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4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7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0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5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7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0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72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4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sectPr>
          <w:headerReference w:type="default" r:id="rId19"/>
          <w:headerReference w:type="first" r:id="rId20"/>
          <w:footerReference w:type="default" r:id="rId21"/>
          <w:footerReference w:type="first" r:id="rId22"/>
          <w:type w:val="nextPage"/>
          <w:pgSz w:orient="landscape" w:w="16838" w:h="11906"/>
          <w:pgMar w:left="720" w:right="568" w:gutter="0" w:header="0" w:top="993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>Приложение №3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left="0" w:right="0" w:hanging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50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6"/>
        <w:gridCol w:w="1488"/>
        <w:gridCol w:w="1373"/>
        <w:gridCol w:w="1486"/>
        <w:gridCol w:w="1378"/>
        <w:gridCol w:w="1058"/>
        <w:gridCol w:w="1129"/>
        <w:gridCol w:w="1083"/>
        <w:gridCol w:w="968"/>
      </w:tblGrid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Пункт назначения</w:t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Количество специалистов</w:t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Проезд к месту командировки (туда и обратно)</w:t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Проживание в номере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гостиницы класса «3 звезды»,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1 чел/сутки.</w:t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Суточныe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</w:rPr>
              <w:t> </w:t>
            </w:r>
            <w:r>
              <w:rPr>
                <w:rFonts w:cs="Times New Roman"/>
              </w:rPr>
              <w:t>1 сутки/руб.</w:t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Продолжи-тельность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команди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ровки,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сутки</w:t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Продол- житель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ность прожив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ания в гостинице,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сутки</w:t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Итого затрат, рубли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3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Итого по сметному расчету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before="0" w:after="200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</w:r>
    </w:p>
    <w:sectPr>
      <w:headerReference w:type="default" r:id="rId23"/>
      <w:headerReference w:type="first" r:id="rId24"/>
      <w:footerReference w:type="default" r:id="rId25"/>
      <w:footerReference w:type="first" r:id="rId26"/>
      <w:type w:val="nextPage"/>
      <w:pgSz w:w="11906" w:h="16838"/>
      <w:pgMar w:left="1276" w:right="709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31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34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38</w:t>
    </w:r>
    <w:r>
      <w:rPr/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26</w:t>
    </w:r>
    <w:r>
      <w:rPr/>
      <w:fldChar w:fldCharType="end"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effect w:val="none"/>
        <w:szCs w:val="22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2"/>
        <w:i w:val="false"/>
        <w:b/>
        <w:szCs w:val="22"/>
        <w:iCs w:val="false"/>
        <w:bCs w:val="fals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i w:val="false"/>
        <w:b w:val="false"/>
        <w:szCs w:val="22"/>
        <w:iCs w:val="false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49" w:hanging="432"/>
      </w:pPr>
      <w:rPr>
        <w:sz w:val="22"/>
        <w:i w:val="false"/>
        <w:b w:val="false"/>
        <w:szCs w:val="22"/>
        <w:iCs w:val="fals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2"/>
        <w:i w:val="false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b w:val="false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  <w:rPr>
        <w:u w:val="none"/>
        <w:b w:val="false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235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19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97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310749"/>
    <w:pPr>
      <w:keepNext w:val="true"/>
      <w:tabs>
        <w:tab w:val="clear" w:pos="708"/>
        <w:tab w:val="left" w:pos="0" w:leader="none"/>
      </w:tabs>
      <w:spacing w:before="120" w:after="60"/>
      <w:ind w:left="709" w:hanging="709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310749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796dd1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413c84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Символ нумерации"/>
    <w:qFormat/>
    <w:rPr/>
  </w:style>
  <w:style w:type="character" w:styleId="WW8Num4z0">
    <w:name w:val="WW8Num4z0"/>
    <w:qFormat/>
    <w:rPr>
      <w:b w:val="false"/>
      <w:color w:val="000000"/>
      <w:u w:val="none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  <w:color w:val="000000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Calibri" w:cs="Times New Roman"/>
    </w:rPr>
  </w:style>
  <w:style w:type="character" w:styleId="FollowedHyperlink">
    <w:name w:val="FollowedHyperlink"/>
    <w:rPr>
      <w:color w:val="80000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607c5c"/>
    <w:pPr>
      <w:spacing w:before="120" w:after="0"/>
    </w:pPr>
    <w:rPr>
      <w:rFonts w:cs="Calibri" w:cstheme="minorHAnsi"/>
      <w:b/>
      <w:bCs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d06dd5"/>
    <w:pPr>
      <w:tabs>
        <w:tab w:val="clear" w:pos="708"/>
        <w:tab w:val="left" w:pos="1400" w:leader="none"/>
        <w:tab w:val="right" w:pos="9911" w:leader="dot"/>
      </w:tabs>
      <w:ind w:left="56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07c5c"/>
    <w:pPr>
      <w:spacing w:before="120" w:after="0"/>
      <w:ind w:left="280" w:hanging="0"/>
    </w:pPr>
    <w:rPr>
      <w:rFonts w:cs="Calibri" w:cstheme="minorHAnsi"/>
      <w:b/>
      <w:bCs/>
      <w:sz w:val="22"/>
      <w:szCs w:val="22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07c5c"/>
    <w:pPr>
      <w:ind w:left="84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796dd1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796dd1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796dd1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23">
    <w:name w:val="Нумерованный 123"/>
    <w:qFormat/>
  </w:style>
  <w:style w:type="numbering" w:styleId="WW8Num4">
    <w:name w:val="WW8Num4"/>
    <w:qFormat/>
  </w:style>
  <w:style w:type="numbering" w:styleId="WW8Num14">
    <w:name w:val="WW8Num14"/>
    <w:qFormat/>
  </w:style>
  <w:style w:type="numbering" w:styleId="WW8Num6">
    <w:name w:val="WW8Num6"/>
    <w:qFormat/>
  </w:style>
  <w:style w:type="numbering" w:styleId="WW8Num11">
    <w:name w:val="WW8Num11"/>
    <w:qFormat/>
  </w:style>
  <w:style w:type="numbering" w:styleId="WW8Num2">
    <w:name w:val="WW8Num2"/>
    <w:qFormat/>
  </w:style>
  <w:style w:type="numbering" w:styleId="WW8Num8">
    <w:name w:val="WW8Num8"/>
    <w:qFormat/>
  </w:style>
  <w:style w:type="numbering" w:styleId="WW8Num13">
    <w:name w:val="WW8Num13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10">
    <w:name w:val="WW8Num10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image" Target="media/image1.png"/><Relationship Id="rId10" Type="http://schemas.openxmlformats.org/officeDocument/2006/relationships/header" Target="header8.xml"/><Relationship Id="rId11" Type="http://schemas.openxmlformats.org/officeDocument/2006/relationships/header" Target="header9.xml"/><Relationship Id="rId12" Type="http://schemas.openxmlformats.org/officeDocument/2006/relationships/header" Target="header10.xml"/><Relationship Id="rId13" Type="http://schemas.openxmlformats.org/officeDocument/2006/relationships/header" Target="header11.xml"/><Relationship Id="rId14" Type="http://schemas.openxmlformats.org/officeDocument/2006/relationships/footer" Target="footer1.xml"/><Relationship Id="rId15" Type="http://schemas.openxmlformats.org/officeDocument/2006/relationships/header" Target="header12.xml"/><Relationship Id="rId16" Type="http://schemas.openxmlformats.org/officeDocument/2006/relationships/header" Target="header13.xml"/><Relationship Id="rId17" Type="http://schemas.openxmlformats.org/officeDocument/2006/relationships/footer" Target="footer2.xml"/><Relationship Id="rId18" Type="http://schemas.openxmlformats.org/officeDocument/2006/relationships/footer" Target="footer3.xml"/><Relationship Id="rId19" Type="http://schemas.openxmlformats.org/officeDocument/2006/relationships/header" Target="header14.xml"/><Relationship Id="rId20" Type="http://schemas.openxmlformats.org/officeDocument/2006/relationships/header" Target="header15.xml"/><Relationship Id="rId21" Type="http://schemas.openxmlformats.org/officeDocument/2006/relationships/footer" Target="footer4.xml"/><Relationship Id="rId22" Type="http://schemas.openxmlformats.org/officeDocument/2006/relationships/footer" Target="footer5.xml"/><Relationship Id="rId23" Type="http://schemas.openxmlformats.org/officeDocument/2006/relationships/header" Target="header16.xml"/><Relationship Id="rId24" Type="http://schemas.openxmlformats.org/officeDocument/2006/relationships/header" Target="header17.xml"/><Relationship Id="rId25" Type="http://schemas.openxmlformats.org/officeDocument/2006/relationships/footer" Target="footer6.xml"/><Relationship Id="rId26" Type="http://schemas.openxmlformats.org/officeDocument/2006/relationships/footer" Target="footer7.xm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5FFD-7E18-4C3E-BA0F-20DF46F1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Application>AlterOffice/3.4.0.9$Linux_X86_64 LibreOffice_project/b8daf9e823b1a5463a2f48435ddc2e8696e7d4fc</Application>
  <AppVersion>15.0000</AppVersion>
  <DocSecurity>4</DocSecurity>
  <Pages>35</Pages>
  <Words>8682</Words>
  <Characters>55472</Characters>
  <CharactersWithSpaces>64419</CharactersWithSpaces>
  <Paragraphs>1781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2024-06-18T08:05:00Z</dcterms:created>
  <dc:creator>Быстров Олег Геннадьевич</dc:creator>
  <dc:description/>
  <dc:language>ru-RU</dc:language>
  <cp:lastModifiedBy>metsia@corp.gidroogk.com</cp:lastModifiedBy>
  <cp:lastPrinted>2006-07-26T14:04:00Z</cp:lastPrinted>
  <dcterms:modified xsi:type="dcterms:W3CDTF">2026-07-22T15:20:04Z</dcterms:modified>
  <cp:revision>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